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suppressLineNumbers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0"/>
        <w:rPr>
          <w:rFonts w:hint="default" w:ascii="Times New Roman" w:hAnsi="Times New Roman" w:eastAsia="方正小标宋简体" w:cs="Times New Roman"/>
          <w:color w:val="auto"/>
          <w:sz w:val="44"/>
          <w:szCs w:val="44"/>
          <w:lang w:eastAsia="zh-CN"/>
        </w:rPr>
      </w:pPr>
      <w:bookmarkStart w:id="0" w:name="_GoBack"/>
      <w:bookmarkEnd w:id="0"/>
      <w:r>
        <w:rPr>
          <w:rFonts w:hint="default" w:ascii="Times New Roman" w:hAnsi="Times New Roman" w:eastAsia="方正小标宋简体" w:cs="Times New Roman"/>
          <w:color w:val="auto"/>
          <w:sz w:val="44"/>
          <w:szCs w:val="44"/>
          <w:lang w:val="en-US" w:eastAsia="zh-CN"/>
        </w:rPr>
        <w:t>成都市成华区</w:t>
      </w:r>
      <w:r>
        <w:rPr>
          <w:rFonts w:hint="eastAsia" w:ascii="Times New Roman" w:hAnsi="Times New Roman" w:eastAsia="方正小标宋简体" w:cs="Times New Roman"/>
          <w:color w:val="auto"/>
          <w:sz w:val="44"/>
          <w:szCs w:val="44"/>
          <w:lang w:val="en-US" w:eastAsia="zh-CN"/>
        </w:rPr>
        <w:t>民政</w:t>
      </w:r>
      <w:r>
        <w:rPr>
          <w:rFonts w:hint="default" w:ascii="Times New Roman" w:hAnsi="Times New Roman" w:eastAsia="方正小标宋简体" w:cs="Times New Roman"/>
          <w:color w:val="auto"/>
          <w:sz w:val="44"/>
          <w:szCs w:val="44"/>
          <w:lang w:val="en-US" w:eastAsia="zh-CN"/>
        </w:rPr>
        <w:t>局</w:t>
      </w:r>
      <w:r>
        <w:rPr>
          <w:rFonts w:hint="eastAsia" w:ascii="Times New Roman" w:hAnsi="Times New Roman" w:eastAsia="方正小标宋简体" w:cs="Times New Roman"/>
          <w:color w:val="auto"/>
          <w:sz w:val="44"/>
          <w:szCs w:val="44"/>
          <w:lang w:val="en-US" w:eastAsia="zh-CN"/>
        </w:rPr>
        <w:t>2025年度</w:t>
      </w:r>
      <w:r>
        <w:rPr>
          <w:rFonts w:hint="default" w:ascii="Times New Roman" w:hAnsi="Times New Roman" w:eastAsia="方正小标宋简体" w:cs="Times New Roman"/>
          <w:color w:val="auto"/>
          <w:sz w:val="44"/>
          <w:szCs w:val="44"/>
        </w:rPr>
        <w:t>涉企执法检查工作</w:t>
      </w:r>
      <w:r>
        <w:rPr>
          <w:rFonts w:hint="default" w:ascii="Times New Roman" w:hAnsi="Times New Roman" w:eastAsia="方正小标宋简体" w:cs="Times New Roman"/>
          <w:color w:val="auto"/>
          <w:sz w:val="44"/>
          <w:szCs w:val="44"/>
          <w:lang w:eastAsia="zh-CN"/>
        </w:rPr>
        <w:t>实施方案</w:t>
      </w:r>
    </w:p>
    <w:p>
      <w:pPr>
        <w:pStyle w:val="7"/>
        <w:keepNext w:val="0"/>
        <w:keepLines w:val="0"/>
        <w:pageBreakBefore w:val="0"/>
        <w:widowControl w:val="0"/>
        <w:suppressLineNumbers w:val="0"/>
        <w:kinsoku/>
        <w:wordWrap/>
        <w:overflowPunct/>
        <w:topLinePunct w:val="0"/>
        <w:autoSpaceDE/>
        <w:autoSpaceDN/>
        <w:bidi w:val="0"/>
        <w:adjustRightInd/>
        <w:snapToGrid/>
        <w:spacing w:line="560" w:lineRule="exact"/>
        <w:textAlignment w:val="auto"/>
        <w:rPr>
          <w:rFonts w:hint="default" w:ascii="Times New Roman" w:hAnsi="Times New Roman" w:eastAsia="方正小标宋简体" w:cs="Times New Roman"/>
          <w:color w:val="auto"/>
          <w:sz w:val="44"/>
          <w:szCs w:val="44"/>
        </w:rPr>
      </w:pP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方正仿宋简体" w:hAnsi="方正仿宋简体" w:eastAsia="方正仿宋简体" w:cs="方正仿宋简体"/>
          <w:color w:val="auto"/>
          <w:sz w:val="32"/>
          <w:szCs w:val="32"/>
          <w:lang w:val="en-US" w:eastAsia="zh-CN"/>
        </w:rPr>
      </w:pPr>
      <w:r>
        <w:rPr>
          <w:rFonts w:hint="default" w:ascii="方正仿宋简体" w:hAnsi="方正仿宋简体" w:eastAsia="方正仿宋简体" w:cs="方正仿宋简体"/>
          <w:color w:val="auto"/>
          <w:sz w:val="32"/>
          <w:szCs w:val="32"/>
          <w:lang w:val="en-US" w:eastAsia="zh-CN"/>
        </w:rPr>
        <w:t>为贯彻落实中央、省、市关于“一码检查”监管改革有关要求，健全完善行政检查综合监管体系，严格规范行政检查行为，</w:t>
      </w:r>
      <w:r>
        <w:rPr>
          <w:rFonts w:hint="eastAsia" w:ascii="方正仿宋简体" w:hAnsi="方正仿宋简体" w:eastAsia="方正仿宋简体" w:cs="方正仿宋简体"/>
          <w:color w:val="auto"/>
          <w:sz w:val="32"/>
          <w:szCs w:val="32"/>
          <w:lang w:val="en-US" w:eastAsia="zh-CN"/>
        </w:rPr>
        <w:t>不断优化营商环境，结合工作实际，制定本方案。</w:t>
      </w:r>
    </w:p>
    <w:p>
      <w:pPr>
        <w:pStyle w:val="7"/>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right="0" w:rightChars="0" w:firstLine="640"/>
        <w:textAlignment w:val="auto"/>
        <w:outlineLvl w:val="0"/>
        <w:rPr>
          <w:rFonts w:hint="eastAsia" w:ascii="Times New Roman" w:hAnsi="Times New Roman" w:eastAsia="方正黑体简体" w:cs="Times New Roman"/>
          <w:color w:val="auto"/>
          <w:sz w:val="32"/>
          <w:szCs w:val="32"/>
          <w:lang w:val="en-US" w:eastAsia="zh-CN"/>
        </w:rPr>
      </w:pPr>
      <w:r>
        <w:rPr>
          <w:rFonts w:hint="eastAsia" w:ascii="Times New Roman" w:hAnsi="Times New Roman" w:eastAsia="方正黑体简体" w:cs="Times New Roman"/>
          <w:color w:val="auto"/>
          <w:sz w:val="32"/>
          <w:szCs w:val="32"/>
          <w:lang w:val="en-US" w:eastAsia="zh-CN"/>
        </w:rPr>
        <w:t>一、工作目的</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方正仿宋简体" w:hAnsi="方正仿宋简体" w:eastAsia="方正仿宋简体" w:cs="方正仿宋简体"/>
          <w:color w:val="auto"/>
          <w:sz w:val="32"/>
          <w:szCs w:val="32"/>
          <w:lang w:val="en-US" w:eastAsia="zh-CN"/>
        </w:rPr>
      </w:pPr>
      <w:r>
        <w:rPr>
          <w:rFonts w:hint="default" w:ascii="方正仿宋简体" w:hAnsi="方正仿宋简体" w:eastAsia="方正仿宋简体" w:cs="方正仿宋简体"/>
          <w:color w:val="auto"/>
          <w:sz w:val="32"/>
          <w:szCs w:val="32"/>
          <w:lang w:val="en-US" w:eastAsia="zh-CN"/>
        </w:rPr>
        <w:t>以习近平新时代中国特色社会主义思想为指导，深入贯彻落实“一码检查”监管改革有关要求，加强依法行政，确保行政检查于法有据、严格规范、公正文明、精准高效，持续优化营商环境。</w:t>
      </w:r>
    </w:p>
    <w:p>
      <w:pPr>
        <w:pStyle w:val="7"/>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right="0" w:rightChars="0" w:firstLine="640"/>
        <w:textAlignment w:val="auto"/>
        <w:outlineLvl w:val="0"/>
        <w:rPr>
          <w:rFonts w:hint="eastAsia" w:ascii="Times New Roman" w:hAnsi="Times New Roman" w:eastAsia="方正黑体简体" w:cs="Times New Roman"/>
          <w:color w:val="auto"/>
          <w:sz w:val="32"/>
          <w:szCs w:val="32"/>
          <w:lang w:val="en-US" w:eastAsia="zh-CN"/>
        </w:rPr>
      </w:pPr>
      <w:r>
        <w:rPr>
          <w:rFonts w:hint="eastAsia" w:ascii="Times New Roman" w:hAnsi="Times New Roman" w:eastAsia="方正黑体简体" w:cs="Times New Roman"/>
          <w:color w:val="auto"/>
          <w:sz w:val="32"/>
          <w:szCs w:val="32"/>
          <w:lang w:val="en-US" w:eastAsia="zh-CN"/>
        </w:rPr>
        <w:t>二、实施范围</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简体" w:hAnsi="方正仿宋简体" w:eastAsia="仿宋"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成华区民政局实施的涉企行政检查事项，</w:t>
      </w:r>
      <w:r>
        <w:rPr>
          <w:rFonts w:hint="eastAsia" w:ascii="仿宋" w:hAnsi="仿宋" w:eastAsia="仿宋"/>
          <w:sz w:val="32"/>
          <w:szCs w:val="32"/>
        </w:rPr>
        <w:t>重点</w:t>
      </w:r>
      <w:r>
        <w:rPr>
          <w:rFonts w:ascii="仿宋" w:hAnsi="仿宋" w:eastAsia="仿宋"/>
          <w:sz w:val="32"/>
          <w:szCs w:val="32"/>
        </w:rPr>
        <w:t>针对殡葬、养老服务机构等民政领域企业</w:t>
      </w:r>
      <w:r>
        <w:rPr>
          <w:rFonts w:hint="eastAsia" w:ascii="仿宋" w:hAnsi="仿宋" w:eastAsia="仿宋"/>
          <w:sz w:val="32"/>
          <w:szCs w:val="32"/>
          <w:lang w:eastAsia="zh-CN"/>
        </w:rPr>
        <w:t>。</w:t>
      </w:r>
    </w:p>
    <w:p>
      <w:pPr>
        <w:pStyle w:val="7"/>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right="0" w:rightChars="0" w:firstLine="640"/>
        <w:textAlignment w:val="auto"/>
        <w:outlineLvl w:val="0"/>
        <w:rPr>
          <w:rFonts w:hint="eastAsia" w:ascii="Times New Roman" w:hAnsi="Times New Roman" w:eastAsia="方正黑体简体" w:cs="Times New Roman"/>
          <w:color w:val="auto"/>
          <w:sz w:val="32"/>
          <w:szCs w:val="32"/>
          <w:lang w:val="en-US" w:eastAsia="zh-CN"/>
        </w:rPr>
      </w:pPr>
      <w:r>
        <w:rPr>
          <w:rFonts w:hint="eastAsia" w:ascii="Times New Roman" w:hAnsi="Times New Roman" w:eastAsia="方正黑体简体" w:cs="Times New Roman"/>
          <w:color w:val="auto"/>
          <w:sz w:val="32"/>
          <w:szCs w:val="32"/>
          <w:lang w:val="en-US" w:eastAsia="zh-CN"/>
        </w:rPr>
        <w:t>三、工作内容</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1"/>
        <w:rPr>
          <w:rFonts w:hint="eastAsia" w:ascii="方正楷体简体" w:hAnsi="方正楷体简体" w:eastAsia="方正楷体简体" w:cs="方正楷体简体"/>
          <w:color w:val="auto"/>
          <w:sz w:val="32"/>
          <w:szCs w:val="32"/>
        </w:rPr>
      </w:pPr>
      <w:r>
        <w:rPr>
          <w:rFonts w:hint="eastAsia" w:ascii="方正楷体简体" w:hAnsi="方正楷体简体" w:eastAsia="方正楷体简体" w:cs="方正楷体简体"/>
          <w:color w:val="auto"/>
          <w:sz w:val="32"/>
          <w:szCs w:val="32"/>
          <w:lang w:eastAsia="zh-CN"/>
        </w:rPr>
        <w:t>（</w:t>
      </w:r>
      <w:r>
        <w:rPr>
          <w:rFonts w:hint="eastAsia" w:ascii="方正楷体简体" w:hAnsi="方正楷体简体" w:eastAsia="方正楷体简体" w:cs="方正楷体简体"/>
          <w:color w:val="auto"/>
          <w:sz w:val="32"/>
          <w:szCs w:val="32"/>
          <w:lang w:val="en-US" w:eastAsia="zh-CN"/>
        </w:rPr>
        <w:t>一</w:t>
      </w:r>
      <w:r>
        <w:rPr>
          <w:rFonts w:hint="eastAsia" w:ascii="方正楷体简体" w:hAnsi="方正楷体简体" w:eastAsia="方正楷体简体" w:cs="方正楷体简体"/>
          <w:color w:val="auto"/>
          <w:sz w:val="32"/>
          <w:szCs w:val="32"/>
          <w:lang w:eastAsia="zh-CN"/>
        </w:rPr>
        <w:t>）</w:t>
      </w:r>
      <w:r>
        <w:rPr>
          <w:rFonts w:hint="eastAsia" w:ascii="方正楷体简体" w:hAnsi="方正楷体简体" w:eastAsia="方正楷体简体" w:cs="方正楷体简体"/>
          <w:color w:val="auto"/>
          <w:sz w:val="32"/>
          <w:szCs w:val="32"/>
        </w:rPr>
        <w:t>制定检查计划</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一是</w:t>
      </w:r>
      <w:r>
        <w:rPr>
          <w:rFonts w:hint="default" w:ascii="方正仿宋简体" w:hAnsi="方正仿宋简体" w:eastAsia="方正仿宋简体" w:cs="方正仿宋简体"/>
          <w:color w:val="auto"/>
          <w:sz w:val="32"/>
          <w:szCs w:val="32"/>
          <w:lang w:val="en-US" w:eastAsia="zh-CN"/>
        </w:rPr>
        <w:t>统筹编制计划</w:t>
      </w:r>
      <w:r>
        <w:rPr>
          <w:rFonts w:hint="eastAsia" w:ascii="方正仿宋简体" w:hAnsi="方正仿宋简体" w:eastAsia="方正仿宋简体" w:cs="方正仿宋简体"/>
          <w:color w:val="auto"/>
          <w:sz w:val="32"/>
          <w:szCs w:val="32"/>
          <w:lang w:val="en-US" w:eastAsia="zh-CN"/>
        </w:rPr>
        <w:t>。涉企行政检查</w:t>
      </w:r>
      <w:r>
        <w:rPr>
          <w:rFonts w:hint="eastAsia" w:ascii="仿宋" w:hAnsi="仿宋" w:eastAsia="仿宋"/>
          <w:color w:val="auto"/>
          <w:sz w:val="32"/>
          <w:szCs w:val="32"/>
        </w:rPr>
        <w:t>重点</w:t>
      </w:r>
      <w:r>
        <w:rPr>
          <w:rFonts w:ascii="仿宋" w:hAnsi="仿宋" w:eastAsia="仿宋"/>
          <w:color w:val="auto"/>
          <w:sz w:val="32"/>
          <w:szCs w:val="32"/>
        </w:rPr>
        <w:t>针对殡葬、养老服务机构等民政领域企业，</w:t>
      </w:r>
      <w:r>
        <w:rPr>
          <w:rFonts w:hint="eastAsia" w:ascii="仿宋" w:hAnsi="仿宋" w:eastAsia="仿宋"/>
          <w:color w:val="auto"/>
          <w:sz w:val="32"/>
          <w:szCs w:val="32"/>
          <w:lang w:val="en-US" w:eastAsia="zh-CN"/>
        </w:rPr>
        <w:t>检查科室</w:t>
      </w: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结合“双随机、一公开”年度抽查计划、“综合查一次”年度计划等统筹制定、审定行政检查计划，行政检查计划应当通过门户网站、行政检查综合监管系统等渠道向社会公布。</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二是严</w:t>
      </w:r>
      <w:r>
        <w:rPr>
          <w:rFonts w:hint="default" w:ascii="方正仿宋简体" w:hAnsi="方正仿宋简体" w:eastAsia="方正仿宋简体" w:cs="方正仿宋简体"/>
          <w:color w:val="auto"/>
          <w:sz w:val="32"/>
          <w:szCs w:val="32"/>
          <w:lang w:val="en-US" w:eastAsia="zh-CN"/>
        </w:rPr>
        <w:t>控检查数量</w:t>
      </w:r>
      <w:r>
        <w:rPr>
          <w:rFonts w:hint="eastAsia" w:ascii="方正仿宋简体" w:hAnsi="方正仿宋简体" w:eastAsia="方正仿宋简体" w:cs="方正仿宋简体"/>
          <w:color w:val="auto"/>
          <w:sz w:val="32"/>
          <w:szCs w:val="32"/>
          <w:lang w:val="en-US" w:eastAsia="zh-CN"/>
        </w:rPr>
        <w:t>。</w:t>
      </w:r>
      <w:r>
        <w:rPr>
          <w:rFonts w:hint="default" w:ascii="方正仿宋简体" w:hAnsi="方正仿宋简体" w:eastAsia="方正仿宋简体" w:cs="方正仿宋简体"/>
          <w:color w:val="auto"/>
          <w:sz w:val="32"/>
          <w:szCs w:val="32"/>
          <w:lang w:val="en-US" w:eastAsia="zh-CN"/>
        </w:rPr>
        <w:t>严格遵循“有计划行政检查为主，触发式行政检查为辅”的原则，能合并实施的不得重复检查，能联合实施的不得多头检查，能通过书面核查、信息共享、智慧监管等方式监管的不得入企实施现场检查。</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三是申请任务码。</w:t>
      </w:r>
      <w:r>
        <w:rPr>
          <w:rFonts w:hint="eastAsia" w:ascii="仿宋" w:hAnsi="仿宋" w:eastAsia="仿宋"/>
          <w:color w:val="auto"/>
          <w:sz w:val="32"/>
          <w:szCs w:val="32"/>
          <w:lang w:val="en-US" w:eastAsia="zh-CN"/>
        </w:rPr>
        <w:t>检查科室</w:t>
      </w:r>
      <w:r>
        <w:rPr>
          <w:rFonts w:hint="default" w:ascii="方正仿宋简体" w:hAnsi="方正仿宋简体" w:eastAsia="方正仿宋简体" w:cs="方正仿宋简体"/>
          <w:color w:val="auto"/>
          <w:sz w:val="32"/>
          <w:szCs w:val="32"/>
          <w:lang w:val="en-US" w:eastAsia="zh-CN"/>
        </w:rPr>
        <w:t>实施行政检查前，应当通过涉企行政检查综合监管系统录入当次行政检查信息并申请“任务码”。</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1"/>
        <w:rPr>
          <w:rFonts w:hint="eastAsia" w:ascii="方正楷体简体" w:hAnsi="方正楷体简体" w:eastAsia="方正楷体简体" w:cs="方正楷体简体"/>
          <w:color w:val="auto"/>
          <w:sz w:val="32"/>
          <w:szCs w:val="32"/>
          <w:lang w:eastAsia="zh-CN"/>
        </w:rPr>
      </w:pPr>
      <w:r>
        <w:rPr>
          <w:rFonts w:hint="eastAsia" w:ascii="方正楷体简体" w:hAnsi="方正楷体简体" w:eastAsia="方正楷体简体" w:cs="方正楷体简体"/>
          <w:color w:val="auto"/>
          <w:sz w:val="32"/>
          <w:szCs w:val="32"/>
          <w:lang w:val="en-US" w:eastAsia="zh-CN"/>
        </w:rPr>
        <w:t>（二）</w:t>
      </w:r>
      <w:r>
        <w:rPr>
          <w:rFonts w:hint="eastAsia" w:ascii="方正楷体简体" w:hAnsi="方正楷体简体" w:eastAsia="方正楷体简体" w:cs="方正楷体简体"/>
          <w:color w:val="auto"/>
          <w:sz w:val="32"/>
          <w:szCs w:val="32"/>
          <w:lang w:eastAsia="zh-CN"/>
        </w:rPr>
        <w:t>“亮码入企”检查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pP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一是主动亮码检查。检查科室</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行政执法人员开展行政检查时，主动出示执法证件和“任务码”。企业迎检人员可通过微信/支付宝扫码查看检查任务信息，包括检查时间、检查对象、检查人员、检查事项等。执法人员完成检查后，邀请企业迎检人员对检查结果进行签字确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pP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二是</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涉及安全生产、应急处置、生态环境等情况紧急、需要当场实施的行政检查；暗查暗访、非现场检查等；其他突发性、临时性行政检查</w:t>
      </w: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情形</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之一的，</w:t>
      </w: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检查科室</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行政执法人员可以不申请“任务码”，通过向市场主体出示执法证件后实施行政检查，于行政检查完成后三个工作日内通过涉企行政检查综合监管系统补录信息</w:t>
      </w: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pP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三是做好</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信息</w:t>
      </w: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完善工作。各科室</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行政执法人员发现当次行政检查内容以外的违法违规情形的，可以不再另行申请“任务码”，于行政检查完成后当日内通过涉企行政检查综合监管系统补录信息。对发现涉及其他行政执法主体管辖的违法违规情形，应当于当日将相关情况通过涉企行政检查综合监管系统推送有管辖权的行政执法主体，并按照规定程序移送线索。</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方正楷体简体" w:hAnsi="方正楷体简体" w:eastAsia="方正楷体简体" w:cs="方正楷体简体"/>
          <w:color w:val="auto"/>
          <w:sz w:val="32"/>
          <w:szCs w:val="32"/>
          <w:lang w:val="en-US" w:eastAsia="zh-CN"/>
        </w:rPr>
      </w:pPr>
      <w:r>
        <w:rPr>
          <w:rFonts w:hint="eastAsia" w:ascii="方正楷体简体" w:hAnsi="方正楷体简体" w:eastAsia="方正楷体简体" w:cs="方正楷体简体"/>
          <w:color w:val="auto"/>
          <w:sz w:val="32"/>
          <w:szCs w:val="32"/>
          <w:lang w:val="en-US" w:eastAsia="zh-CN"/>
        </w:rPr>
        <w:t>（</w:t>
      </w:r>
      <w:r>
        <w:rPr>
          <w:rFonts w:hint="default" w:ascii="方正楷体简体" w:hAnsi="方正楷体简体" w:eastAsia="方正楷体简体" w:cs="方正楷体简体"/>
          <w:color w:val="auto"/>
          <w:sz w:val="32"/>
          <w:szCs w:val="32"/>
          <w:lang w:val="en-US" w:eastAsia="zh-CN"/>
        </w:rPr>
        <w:t>‌三</w:t>
      </w:r>
      <w:r>
        <w:rPr>
          <w:rFonts w:hint="eastAsia" w:ascii="方正楷体简体" w:hAnsi="方正楷体简体" w:eastAsia="方正楷体简体" w:cs="方正楷体简体"/>
          <w:color w:val="auto"/>
          <w:sz w:val="32"/>
          <w:szCs w:val="32"/>
          <w:lang w:val="en-US" w:eastAsia="zh-CN"/>
        </w:rPr>
        <w:t>）</w:t>
      </w:r>
      <w:r>
        <w:rPr>
          <w:rFonts w:hint="default" w:ascii="方正楷体简体" w:hAnsi="方正楷体简体" w:eastAsia="方正楷体简体" w:cs="方正楷体简体"/>
          <w:color w:val="auto"/>
          <w:sz w:val="32"/>
          <w:szCs w:val="32"/>
          <w:lang w:val="en-US" w:eastAsia="zh-CN"/>
        </w:rPr>
        <w:t>行政检查预警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pP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具备下列情形之一的，“监管系统”</w:t>
      </w: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将</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进行预警提示</w:t>
      </w: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pP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一是</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对于已经赋予“任务码”且存在多头检查、重复检查、高频次检查等情形的行政检查</w:t>
      </w: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pP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二是</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对于行政执法主体开展“亮码入企”工作时，存在行政执法主体、行政执法人员、行政检查事项不一致等情形的</w:t>
      </w: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pP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“监管系统”对行政检查进行预警提示后，</w:t>
      </w: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检查科室负责人</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应当认真审查实施行政检查的合法性、合理性和必要性，通过“监管系统”说明检查事由和依据，方可实施行政检查。</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1"/>
        <w:rPr>
          <w:rFonts w:hint="default" w:ascii="方正楷体简体" w:hAnsi="方正楷体简体" w:eastAsia="方正楷体简体" w:cs="方正楷体简体"/>
          <w:color w:val="auto"/>
          <w:sz w:val="32"/>
          <w:szCs w:val="32"/>
          <w:lang w:val="en-US" w:eastAsia="zh-CN"/>
        </w:rPr>
      </w:pPr>
      <w:r>
        <w:rPr>
          <w:rFonts w:hint="eastAsia" w:ascii="方正楷体简体" w:hAnsi="方正楷体简体" w:eastAsia="方正楷体简体" w:cs="方正楷体简体"/>
          <w:color w:val="auto"/>
          <w:sz w:val="32"/>
          <w:szCs w:val="32"/>
          <w:lang w:val="en-US" w:eastAsia="zh-CN"/>
        </w:rPr>
        <w:t>（四）行政检查评估评价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pP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行政检查评估评价</w:t>
      </w:r>
      <w:r>
        <w:rPr>
          <w:rFonts w:hint="eastAsia" w:ascii="方正仿宋简体" w:hAnsi="方正仿宋简体" w:eastAsia="方正仿宋简体" w:cs="方正仿宋简体"/>
          <w:b w:val="0"/>
          <w:i w:val="0"/>
          <w:caps w:val="0"/>
          <w:color w:val="auto"/>
          <w:spacing w:val="0"/>
          <w:kern w:val="0"/>
          <w:sz w:val="32"/>
          <w:szCs w:val="32"/>
          <w:shd w:val="clear" w:fill="FFFFFF"/>
          <w:lang w:val="en-US" w:eastAsia="zh-CN" w:bidi="ar"/>
        </w:rPr>
        <w:t>可以</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通过</w:t>
      </w:r>
      <w:r>
        <w:rPr>
          <w:rFonts w:hint="default" w:ascii="Times New Roman" w:hAnsi="Times New Roman" w:eastAsia="方正仿宋简体" w:cs="Times New Roman"/>
          <w:b w:val="0"/>
          <w:i w:val="0"/>
          <w:caps w:val="0"/>
          <w:color w:val="auto"/>
          <w:spacing w:val="0"/>
          <w:kern w:val="0"/>
          <w:sz w:val="32"/>
          <w:szCs w:val="32"/>
          <w:shd w:val="clear" w:fill="FFFFFF"/>
          <w:lang w:val="en-US" w:eastAsia="zh-CN" w:bidi="ar"/>
        </w:rPr>
        <w:t>行政执法主体自评、市场主体点评、第三方测评等方式，对本单位实施行政检查的合法性、合理性及规范性等情况进行评估评价的活动，通过12345热线平台、“监管系统”等渠道，收集市场主体对行政检查行为的评价；可以邀请人大代表、政协委员、人民监督</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员、专家学者、律师、新闻工作者等参与</w:t>
      </w:r>
      <w:r>
        <w:rPr>
          <w:rFonts w:hint="eastAsia" w:ascii="方正仿宋简体" w:hAnsi="方正仿宋简体" w:eastAsia="方正仿宋简体" w:cs="方正仿宋简体"/>
          <w:color w:val="auto"/>
          <w:sz w:val="32"/>
          <w:szCs w:val="32"/>
          <w:lang w:val="en-US" w:eastAsia="zh-CN"/>
        </w:rPr>
        <w:t>涉企</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行政检查评估评价工作。</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1"/>
        <w:rPr>
          <w:rFonts w:hint="default" w:ascii="方正楷体简体" w:hAnsi="方正楷体简体" w:eastAsia="方正楷体简体" w:cs="方正楷体简体"/>
          <w:color w:val="auto"/>
          <w:sz w:val="32"/>
          <w:szCs w:val="32"/>
          <w:lang w:val="en-US" w:eastAsia="zh-CN"/>
        </w:rPr>
      </w:pPr>
      <w:r>
        <w:rPr>
          <w:rFonts w:hint="eastAsia" w:ascii="方正楷体简体" w:hAnsi="方正楷体简体" w:eastAsia="方正楷体简体" w:cs="方正楷体简体"/>
          <w:color w:val="auto"/>
          <w:sz w:val="32"/>
          <w:szCs w:val="32"/>
          <w:lang w:val="en-US" w:eastAsia="zh-CN"/>
        </w:rPr>
        <w:t>（五）</w:t>
      </w:r>
      <w:r>
        <w:rPr>
          <w:rFonts w:hint="default" w:ascii="方正楷体简体" w:hAnsi="方正楷体简体" w:eastAsia="方正楷体简体" w:cs="方正楷体简体"/>
          <w:color w:val="auto"/>
          <w:sz w:val="32"/>
          <w:szCs w:val="32"/>
          <w:lang w:val="en-US" w:eastAsia="zh-CN"/>
        </w:rPr>
        <w:t>评估评价材料归档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pPr>
      <w:r>
        <w:rPr>
          <w:rFonts w:hint="eastAsia" w:ascii="方正仿宋简体" w:hAnsi="方正仿宋简体" w:eastAsia="方正仿宋简体" w:cs="方正仿宋简体"/>
          <w:color w:val="auto"/>
          <w:sz w:val="32"/>
          <w:szCs w:val="32"/>
          <w:lang w:val="en-US" w:eastAsia="zh-CN"/>
        </w:rPr>
        <w:t>涉企</w:t>
      </w:r>
      <w:r>
        <w:rPr>
          <w:rFonts w:hint="default" w:ascii="方正仿宋简体" w:hAnsi="方正仿宋简体" w:eastAsia="方正仿宋简体" w:cs="方正仿宋简体"/>
          <w:b w:val="0"/>
          <w:i w:val="0"/>
          <w:caps w:val="0"/>
          <w:color w:val="auto"/>
          <w:spacing w:val="0"/>
          <w:kern w:val="0"/>
          <w:sz w:val="32"/>
          <w:szCs w:val="32"/>
          <w:shd w:val="clear" w:fill="FFFFFF"/>
          <w:lang w:val="en-US" w:eastAsia="zh-CN" w:bidi="ar"/>
        </w:rPr>
        <w:t>行政检查评估评价完成后，办公室牵头负责材料归档存入档案室。</w:t>
      </w:r>
    </w:p>
    <w:p>
      <w:pPr>
        <w:pStyle w:val="7"/>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right="0" w:rightChars="0" w:firstLine="640"/>
        <w:textAlignment w:val="auto"/>
        <w:outlineLvl w:val="0"/>
        <w:rPr>
          <w:rFonts w:hint="default" w:ascii="Times New Roman" w:hAnsi="Times New Roman" w:eastAsia="方正黑体简体" w:cs="Times New Roman"/>
          <w:color w:val="auto"/>
          <w:sz w:val="32"/>
          <w:szCs w:val="32"/>
        </w:rPr>
      </w:pPr>
      <w:r>
        <w:rPr>
          <w:rFonts w:hint="eastAsia" w:ascii="Times New Roman" w:hAnsi="Times New Roman" w:eastAsia="方正黑体简体" w:cs="Times New Roman"/>
          <w:color w:val="auto"/>
          <w:sz w:val="32"/>
          <w:szCs w:val="32"/>
          <w:lang w:val="en-US" w:eastAsia="zh-CN"/>
        </w:rPr>
        <w:t>四</w:t>
      </w:r>
      <w:r>
        <w:rPr>
          <w:rFonts w:hint="default" w:ascii="Times New Roman" w:hAnsi="Times New Roman" w:eastAsia="方正黑体简体" w:cs="Times New Roman"/>
          <w:color w:val="auto"/>
          <w:sz w:val="32"/>
          <w:szCs w:val="32"/>
        </w:rPr>
        <w:t>、任务分工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方正仿宋简体" w:hAnsi="方正仿宋简体" w:eastAsia="方正仿宋简体" w:cs="方正仿宋简体"/>
          <w:color w:val="auto"/>
          <w:kern w:val="0"/>
          <w:sz w:val="32"/>
          <w:szCs w:val="32"/>
          <w:lang w:val="en-US" w:eastAsia="zh-CN" w:bidi="ar"/>
        </w:rPr>
      </w:pPr>
      <w:r>
        <w:rPr>
          <w:rFonts w:hint="eastAsia" w:ascii="方正仿宋简体" w:hAnsi="方正仿宋简体" w:eastAsia="方正仿宋简体" w:cs="方正仿宋简体"/>
          <w:color w:val="auto"/>
          <w:kern w:val="0"/>
          <w:sz w:val="32"/>
          <w:szCs w:val="32"/>
          <w:lang w:val="en-US" w:eastAsia="zh-CN" w:bidi="ar"/>
        </w:rPr>
        <w:t>（一）</w:t>
      </w:r>
      <w:r>
        <w:rPr>
          <w:rFonts w:hint="default" w:ascii="方正仿宋简体" w:hAnsi="方正仿宋简体" w:eastAsia="方正仿宋简体" w:cs="方正仿宋简体"/>
          <w:color w:val="000000" w:themeColor="text1"/>
          <w:kern w:val="0"/>
          <w:sz w:val="32"/>
          <w:szCs w:val="32"/>
          <w:u w:val="none"/>
          <w:lang w:val="en-US" w:eastAsia="zh-CN" w:bidi="ar"/>
          <w14:textFill>
            <w14:solidFill>
              <w14:schemeClr w14:val="tx1"/>
            </w14:solidFill>
          </w14:textFill>
        </w:rPr>
        <w:t>具有</w:t>
      </w:r>
      <w:r>
        <w:rPr>
          <w:rFonts w:hint="eastAsia" w:ascii="方正仿宋简体" w:hAnsi="方正仿宋简体" w:eastAsia="方正仿宋简体" w:cs="方正仿宋简体"/>
          <w:b w:val="0"/>
          <w:bCs w:val="0"/>
          <w:color w:val="000000" w:themeColor="text1"/>
          <w:sz w:val="32"/>
          <w:szCs w:val="32"/>
          <w:u w:val="none"/>
          <w:lang w:val="en-US" w:eastAsia="zh-CN"/>
          <w14:textFill>
            <w14:solidFill>
              <w14:schemeClr w14:val="tx1"/>
            </w14:solidFill>
          </w14:textFill>
        </w:rPr>
        <w:t>涉企</w:t>
      </w:r>
      <w:r>
        <w:rPr>
          <w:rFonts w:hint="default" w:ascii="方正仿宋简体" w:hAnsi="方正仿宋简体" w:eastAsia="方正仿宋简体" w:cs="方正仿宋简体"/>
          <w:color w:val="000000" w:themeColor="text1"/>
          <w:kern w:val="0"/>
          <w:sz w:val="32"/>
          <w:szCs w:val="32"/>
          <w:u w:val="none"/>
          <w:lang w:val="en-US" w:eastAsia="zh-CN" w:bidi="ar"/>
          <w14:textFill>
            <w14:solidFill>
              <w14:schemeClr w14:val="tx1"/>
            </w14:solidFill>
          </w14:textFill>
        </w:rPr>
        <w:t>行政检查事项的科室制定</w:t>
      </w:r>
      <w:r>
        <w:rPr>
          <w:rFonts w:hint="eastAsia" w:ascii="方正仿宋简体" w:hAnsi="方正仿宋简体" w:eastAsia="方正仿宋简体" w:cs="方正仿宋简体"/>
          <w:b w:val="0"/>
          <w:bCs w:val="0"/>
          <w:color w:val="000000" w:themeColor="text1"/>
          <w:sz w:val="32"/>
          <w:szCs w:val="32"/>
          <w:u w:val="none"/>
          <w:lang w:val="en-US" w:eastAsia="zh-CN"/>
          <w14:textFill>
            <w14:solidFill>
              <w14:schemeClr w14:val="tx1"/>
            </w14:solidFill>
          </w14:textFill>
        </w:rPr>
        <w:t>涉企</w:t>
      </w:r>
      <w:r>
        <w:rPr>
          <w:rFonts w:hint="default" w:ascii="方正仿宋简体" w:hAnsi="方正仿宋简体" w:eastAsia="方正仿宋简体" w:cs="方正仿宋简体"/>
          <w:color w:val="000000" w:themeColor="text1"/>
          <w:kern w:val="0"/>
          <w:sz w:val="32"/>
          <w:szCs w:val="32"/>
          <w:u w:val="none"/>
          <w:lang w:val="en-US" w:eastAsia="zh-CN" w:bidi="ar"/>
          <w14:textFill>
            <w14:solidFill>
              <w14:schemeClr w14:val="tx1"/>
            </w14:solidFill>
          </w14:textFill>
        </w:rPr>
        <w:t>政检查年度计划，明确行政检查的对象、频次和时间安排等内容，严格按照法律规定的程序实施行政检查</w:t>
      </w:r>
      <w:r>
        <w:rPr>
          <w:rFonts w:hint="eastAsia" w:ascii="方正仿宋简体" w:hAnsi="方正仿宋简体" w:eastAsia="方正仿宋简体" w:cs="方正仿宋简体"/>
          <w:color w:val="000000" w:themeColor="text1"/>
          <w:kern w:val="0"/>
          <w:sz w:val="32"/>
          <w:szCs w:val="32"/>
          <w:u w:val="none"/>
          <w:lang w:val="en-US" w:eastAsia="zh-CN" w:bidi="ar"/>
          <w14:textFill>
            <w14:solidFill>
              <w14:schemeClr w14:val="tx1"/>
            </w14:solidFill>
          </w14:textFill>
        </w:rPr>
        <w:t>；</w:t>
      </w:r>
      <w:r>
        <w:rPr>
          <w:rFonts w:hint="default" w:ascii="方正仿宋简体" w:hAnsi="方正仿宋简体" w:eastAsia="方正仿宋简体" w:cs="方正仿宋简体"/>
          <w:color w:val="000000" w:themeColor="text1"/>
          <w:kern w:val="0"/>
          <w:sz w:val="32"/>
          <w:szCs w:val="32"/>
          <w:u w:val="none"/>
          <w:lang w:val="en-US" w:eastAsia="zh-CN" w:bidi="ar"/>
          <w14:textFill>
            <w14:solidFill>
              <w14:schemeClr w14:val="tx1"/>
            </w14:solidFill>
          </w14:textFill>
        </w:rPr>
        <w:t>做好“一码检查”工作中的特色、亮点、经验做法</w:t>
      </w:r>
      <w:r>
        <w:rPr>
          <w:rFonts w:hint="eastAsia" w:ascii="方正仿宋简体" w:hAnsi="方正仿宋简体" w:eastAsia="方正仿宋简体" w:cs="方正仿宋简体"/>
          <w:color w:val="000000" w:themeColor="text1"/>
          <w:kern w:val="0"/>
          <w:sz w:val="32"/>
          <w:szCs w:val="32"/>
          <w:u w:val="none"/>
          <w:lang w:val="en-US" w:eastAsia="zh-CN" w:bidi="ar"/>
          <w14:textFill>
            <w14:solidFill>
              <w14:schemeClr w14:val="tx1"/>
            </w14:solidFill>
          </w14:textFill>
        </w:rPr>
        <w:t>总结</w:t>
      </w:r>
      <w:r>
        <w:rPr>
          <w:rFonts w:hint="default" w:ascii="方正仿宋简体" w:hAnsi="方正仿宋简体" w:eastAsia="方正仿宋简体" w:cs="方正仿宋简体"/>
          <w:color w:val="000000" w:themeColor="text1"/>
          <w:kern w:val="0"/>
          <w:sz w:val="32"/>
          <w:szCs w:val="32"/>
          <w:u w:val="none"/>
          <w:lang w:val="en-US" w:eastAsia="zh-CN" w:bidi="ar"/>
          <w14:textFill>
            <w14:solidFill>
              <w14:schemeClr w14:val="tx1"/>
            </w14:solidFill>
          </w14:textFill>
        </w:rPr>
        <w:t>工作</w:t>
      </w:r>
      <w:r>
        <w:rPr>
          <w:rFonts w:hint="eastAsia" w:ascii="方正仿宋简体" w:hAnsi="方正仿宋简体" w:eastAsia="方正仿宋简体" w:cs="方正仿宋简体"/>
          <w:color w:val="auto"/>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方正仿宋简体" w:hAnsi="方正仿宋简体" w:eastAsia="方正仿宋简体" w:cs="方正仿宋简体"/>
          <w:color w:val="auto"/>
          <w:kern w:val="0"/>
          <w:sz w:val="32"/>
          <w:szCs w:val="32"/>
          <w:lang w:val="en-US" w:eastAsia="zh-CN" w:bidi="ar"/>
        </w:rPr>
      </w:pPr>
      <w:r>
        <w:rPr>
          <w:rFonts w:hint="eastAsia" w:ascii="方正仿宋简体" w:hAnsi="方正仿宋简体" w:eastAsia="方正仿宋简体" w:cs="方正仿宋简体"/>
          <w:color w:val="auto"/>
          <w:kern w:val="0"/>
          <w:sz w:val="32"/>
          <w:szCs w:val="32"/>
          <w:lang w:val="en-US" w:eastAsia="zh-CN" w:bidi="ar"/>
        </w:rPr>
        <w:t>（二）养老服务与产业发展科做好养老服务机构企业行政检查工作。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方正仿宋简体" w:hAnsi="方正仿宋简体" w:eastAsia="方正仿宋简体" w:cs="方正仿宋简体"/>
          <w:color w:val="auto"/>
          <w:kern w:val="0"/>
          <w:sz w:val="32"/>
          <w:szCs w:val="32"/>
          <w:lang w:val="en-US" w:eastAsia="zh-CN" w:bidi="ar"/>
        </w:rPr>
      </w:pPr>
      <w:r>
        <w:rPr>
          <w:rFonts w:hint="eastAsia" w:ascii="方正仿宋简体" w:hAnsi="方正仿宋简体" w:eastAsia="方正仿宋简体" w:cs="方正仿宋简体"/>
          <w:color w:val="auto"/>
          <w:kern w:val="0"/>
          <w:sz w:val="32"/>
          <w:szCs w:val="32"/>
          <w:lang w:val="en-US" w:eastAsia="zh-CN" w:bidi="ar"/>
        </w:rPr>
        <w:t>（三）社会事务科做好殡葬领域企业行政检查工作。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方正仿宋简体" w:hAnsi="方正仿宋简体" w:eastAsia="方正仿宋简体" w:cs="方正仿宋简体"/>
          <w:color w:val="auto"/>
          <w:kern w:val="0"/>
          <w:sz w:val="32"/>
          <w:szCs w:val="32"/>
          <w:lang w:val="en-US" w:eastAsia="zh-CN" w:bidi="ar"/>
        </w:rPr>
      </w:pPr>
      <w:r>
        <w:rPr>
          <w:rFonts w:hint="eastAsia" w:ascii="方正仿宋简体" w:hAnsi="方正仿宋简体" w:eastAsia="方正仿宋简体" w:cs="方正仿宋简体"/>
          <w:color w:val="auto"/>
          <w:kern w:val="0"/>
          <w:sz w:val="32"/>
          <w:szCs w:val="32"/>
          <w:lang w:val="en-US" w:eastAsia="zh-CN" w:bidi="ar"/>
        </w:rPr>
        <w:t>（四）办公室</w:t>
      </w:r>
      <w:r>
        <w:rPr>
          <w:rFonts w:hint="default" w:ascii="方正仿宋简体" w:hAnsi="方正仿宋简体" w:eastAsia="方正仿宋简体" w:cs="方正仿宋简体"/>
          <w:color w:val="auto"/>
          <w:kern w:val="0"/>
          <w:sz w:val="32"/>
          <w:szCs w:val="32"/>
          <w:lang w:val="en-US" w:eastAsia="zh-CN" w:bidi="ar"/>
        </w:rPr>
        <w:t>负责统筹协调推进“一码检查”工作；</w:t>
      </w:r>
      <w:r>
        <w:rPr>
          <w:rFonts w:hint="eastAsia" w:ascii="方正仿宋简体" w:hAnsi="方正仿宋简体" w:eastAsia="方正仿宋简体" w:cs="方正仿宋简体"/>
          <w:color w:val="auto"/>
          <w:kern w:val="0"/>
          <w:sz w:val="32"/>
          <w:szCs w:val="32"/>
          <w:lang w:val="en-US" w:eastAsia="zh-CN" w:bidi="ar"/>
        </w:rPr>
        <w:t>做好</w:t>
      </w:r>
      <w:r>
        <w:rPr>
          <w:rFonts w:hint="default" w:ascii="方正仿宋简体" w:hAnsi="方正仿宋简体" w:eastAsia="方正仿宋简体" w:cs="方正仿宋简体"/>
          <w:color w:val="auto"/>
          <w:kern w:val="0"/>
          <w:sz w:val="32"/>
          <w:szCs w:val="32"/>
          <w:lang w:val="en-US" w:eastAsia="zh-CN" w:bidi="ar"/>
        </w:rPr>
        <w:t>预警</w:t>
      </w:r>
      <w:r>
        <w:rPr>
          <w:rFonts w:hint="eastAsia" w:ascii="方正仿宋简体" w:hAnsi="方正仿宋简体" w:eastAsia="方正仿宋简体" w:cs="方正仿宋简体"/>
          <w:color w:val="auto"/>
          <w:kern w:val="0"/>
          <w:sz w:val="32"/>
          <w:szCs w:val="32"/>
          <w:lang w:val="en-US" w:eastAsia="zh-CN" w:bidi="ar"/>
        </w:rPr>
        <w:t>监督、评估评价和档案管理工作。</w:t>
      </w:r>
    </w:p>
    <w:p>
      <w:pPr>
        <w:pStyle w:val="7"/>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right="0" w:rightChars="0" w:firstLine="640" w:firstLineChars="200"/>
        <w:textAlignment w:val="auto"/>
        <w:outlineLvl w:val="0"/>
        <w:rPr>
          <w:rFonts w:hint="default" w:ascii="Times New Roman" w:hAnsi="Times New Roman" w:eastAsia="方正黑体简体" w:cs="Times New Roman"/>
          <w:color w:val="auto"/>
          <w:sz w:val="32"/>
          <w:szCs w:val="32"/>
        </w:rPr>
      </w:pPr>
      <w:r>
        <w:rPr>
          <w:rFonts w:hint="eastAsia" w:ascii="Times New Roman" w:hAnsi="Times New Roman" w:eastAsia="方正黑体简体" w:cs="Times New Roman"/>
          <w:color w:val="auto"/>
          <w:sz w:val="32"/>
          <w:szCs w:val="32"/>
          <w:lang w:val="en-US" w:eastAsia="zh-CN"/>
        </w:rPr>
        <w:t>五</w:t>
      </w:r>
      <w:r>
        <w:rPr>
          <w:rFonts w:hint="default" w:ascii="Times New Roman" w:hAnsi="Times New Roman" w:eastAsia="方正黑体简体" w:cs="Times New Roman"/>
          <w:color w:val="auto"/>
          <w:sz w:val="32"/>
          <w:szCs w:val="32"/>
        </w:rPr>
        <w:t>、工作要求</w:t>
      </w:r>
    </w:p>
    <w:p>
      <w:pPr>
        <w:pStyle w:val="7"/>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right="0" w:rightChars="0" w:firstLine="640"/>
        <w:textAlignment w:val="auto"/>
        <w:outlineLvl w:val="9"/>
        <w:rPr>
          <w:rFonts w:hint="eastAsia" w:ascii="方正仿宋简体" w:hAnsi="方正仿宋简体" w:eastAsia="方正仿宋简体" w:cs="方正仿宋简体"/>
          <w:color w:val="auto"/>
          <w:kern w:val="0"/>
          <w:sz w:val="32"/>
          <w:szCs w:val="32"/>
          <w:lang w:val="en-US" w:eastAsia="zh-CN" w:bidi="ar"/>
        </w:rPr>
      </w:pPr>
      <w:r>
        <w:rPr>
          <w:rFonts w:hint="eastAsia" w:ascii="方正仿宋简体" w:hAnsi="方正仿宋简体" w:eastAsia="方正仿宋简体" w:cs="方正仿宋简体"/>
          <w:color w:val="auto"/>
          <w:kern w:val="0"/>
          <w:sz w:val="32"/>
          <w:szCs w:val="32"/>
          <w:lang w:val="en-US" w:eastAsia="zh-CN" w:bidi="ar"/>
        </w:rPr>
        <w:t>涉及科室要高度重视，严格执行落实，确保“一码检查”工作扎实稳妥、有序推进，防止检查过多和执法扰企。</w:t>
      </w:r>
    </w:p>
    <w:p>
      <w:pPr>
        <w:pStyle w:val="7"/>
        <w:keepNext w:val="0"/>
        <w:keepLines w:val="0"/>
        <w:pageBreakBefore w:val="0"/>
        <w:widowControl w:val="0"/>
        <w:suppressLineNumbers w:val="0"/>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Times New Roman" w:hAnsi="Times New Roman" w:eastAsia="方正仿宋简体" w:cs="Times New Roman"/>
          <w:snapToGrid w:val="0"/>
          <w:color w:val="auto"/>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方正仿宋简体" w:hAnsi="方正仿宋简体" w:eastAsia="方正仿宋简体" w:cs="方正仿宋简体"/>
          <w:color w:val="auto"/>
          <w:kern w:val="0"/>
          <w:sz w:val="32"/>
          <w:szCs w:val="32"/>
          <w:lang w:val="en-US" w:eastAsia="zh-CN" w:bidi="ar"/>
        </w:rPr>
      </w:pPr>
      <w:r>
        <w:rPr>
          <w:rFonts w:hint="eastAsia" w:ascii="方正仿宋简体" w:hAnsi="方正仿宋简体" w:eastAsia="方正仿宋简体" w:cs="方正仿宋简体"/>
          <w:color w:val="auto"/>
          <w:kern w:val="0"/>
          <w:sz w:val="32"/>
          <w:szCs w:val="32"/>
          <w:lang w:val="en-US" w:eastAsia="zh-CN" w:bidi="ar"/>
        </w:rPr>
        <w:t>附件：成都市成华区民政局涉企行政检查事项清单</w:t>
      </w:r>
    </w:p>
    <w:p>
      <w:pPr>
        <w:pStyle w:val="7"/>
        <w:keepNext w:val="0"/>
        <w:keepLines w:val="0"/>
        <w:pageBreakBefore w:val="0"/>
        <w:widowControl w:val="0"/>
        <w:suppressLineNumbers w:val="0"/>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Times New Roman" w:hAnsi="Times New Roman" w:eastAsia="方正仿宋简体" w:cs="Times New Roman"/>
          <w:snapToGrid w:val="0"/>
          <w:color w:val="auto"/>
          <w:kern w:val="2"/>
          <w:sz w:val="32"/>
          <w:szCs w:val="32"/>
          <w:lang w:val="zh-CN" w:eastAsia="zh-CN" w:bidi="ar-SA"/>
        </w:rPr>
      </w:pPr>
    </w:p>
    <w:p>
      <w:pPr>
        <w:keepNext w:val="0"/>
        <w:keepLines w:val="0"/>
        <w:pageBreakBefore w:val="0"/>
        <w:kinsoku/>
        <w:wordWrap/>
        <w:overflowPunct/>
        <w:topLinePunct w:val="0"/>
        <w:autoSpaceDE/>
        <w:autoSpaceDN/>
        <w:bidi w:val="0"/>
        <w:adjustRightInd/>
        <w:spacing w:line="560" w:lineRule="exact"/>
        <w:textAlignment w:val="auto"/>
        <w:rPr>
          <w:rFonts w:hint="eastAsia" w:ascii="方正黑体简体" w:hAnsi="方正黑体简体" w:eastAsia="方正黑体简体" w:cs="方正黑体简体"/>
          <w:b w:val="0"/>
          <w:bCs w:val="0"/>
          <w:color w:val="auto"/>
          <w:sz w:val="32"/>
          <w:szCs w:val="32"/>
          <w:lang w:val="en-US" w:eastAsia="zh-CN"/>
        </w:rPr>
        <w:sectPr>
          <w:footerReference r:id="rId3" w:type="default"/>
          <w:pgSz w:w="11906" w:h="16838"/>
          <w:pgMar w:top="2098" w:right="1474" w:bottom="1984" w:left="1587" w:header="851" w:footer="992" w:gutter="0"/>
          <w:pgNumType w:fmt="decimal"/>
          <w:cols w:space="425" w:num="1"/>
          <w:docGrid w:linePitch="297" w:charSpace="-439"/>
        </w:sectPr>
      </w:pPr>
    </w:p>
    <w:p>
      <w:pPr>
        <w:spacing w:line="570" w:lineRule="exact"/>
        <w:jc w:val="left"/>
        <w:rPr>
          <w:rFonts w:hint="eastAsia" w:ascii="方正黑体简体" w:hAnsi="方正黑体简体" w:eastAsia="方正黑体简体" w:cs="方正黑体简体"/>
          <w:b w:val="0"/>
          <w:bCs w:val="0"/>
          <w:color w:val="auto"/>
          <w:sz w:val="32"/>
          <w:szCs w:val="32"/>
          <w:lang w:val="en-US" w:eastAsia="zh-CN"/>
        </w:rPr>
      </w:pPr>
      <w:r>
        <w:rPr>
          <w:rFonts w:hint="eastAsia" w:ascii="方正黑体简体" w:hAnsi="方正黑体简体" w:eastAsia="方正黑体简体" w:cs="方正黑体简体"/>
          <w:b w:val="0"/>
          <w:bCs w:val="0"/>
          <w:color w:val="auto"/>
          <w:sz w:val="32"/>
          <w:szCs w:val="32"/>
          <w:lang w:val="en-US" w:eastAsia="zh-CN"/>
        </w:rPr>
        <w:t>附件</w:t>
      </w:r>
    </w:p>
    <w:p>
      <w:pPr>
        <w:pStyle w:val="2"/>
        <w:rPr>
          <w:rFonts w:hint="eastAsia"/>
          <w:lang w:val="en-US"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成都市成华区民政局涉企行政检查事项清单</w:t>
      </w:r>
    </w:p>
    <w:tbl>
      <w:tblPr>
        <w:tblStyle w:val="11"/>
        <w:tblpPr w:leftFromText="180" w:rightFromText="180" w:vertAnchor="text" w:horzAnchor="page" w:tblpXSpec="center" w:tblpY="521"/>
        <w:tblOverlap w:val="never"/>
        <w:tblW w:w="94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868"/>
        <w:gridCol w:w="1636"/>
        <w:gridCol w:w="2114"/>
        <w:gridCol w:w="1486"/>
        <w:gridCol w:w="1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exact"/>
          <w:jc w:val="center"/>
        </w:trPr>
        <w:tc>
          <w:tcPr>
            <w:tcW w:w="8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color w:val="auto"/>
                <w:sz w:val="21"/>
                <w:szCs w:val="21"/>
                <w:vertAlign w:val="baseline"/>
                <w:lang w:val="en-US" w:eastAsia="zh-CN"/>
              </w:rPr>
            </w:pPr>
            <w:r>
              <w:rPr>
                <w:rFonts w:hint="eastAsia" w:ascii="方正黑体简体" w:hAnsi="方正黑体简体" w:eastAsia="方正黑体简体" w:cs="方正黑体简体"/>
                <w:b w:val="0"/>
                <w:bCs w:val="0"/>
                <w:color w:val="auto"/>
                <w:sz w:val="21"/>
                <w:szCs w:val="21"/>
                <w:vertAlign w:val="baseline"/>
                <w:lang w:val="en-US" w:eastAsia="zh-CN"/>
              </w:rPr>
              <w:t>序号</w:t>
            </w:r>
          </w:p>
        </w:tc>
        <w:tc>
          <w:tcPr>
            <w:tcW w:w="1868"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color w:val="auto"/>
                <w:sz w:val="21"/>
                <w:szCs w:val="21"/>
                <w:vertAlign w:val="baseline"/>
                <w:lang w:val="en-US" w:eastAsia="zh-CN"/>
              </w:rPr>
            </w:pPr>
            <w:r>
              <w:rPr>
                <w:rFonts w:hint="eastAsia" w:ascii="方正黑体简体" w:hAnsi="方正黑体简体" w:eastAsia="方正黑体简体" w:cs="方正黑体简体"/>
                <w:b w:val="0"/>
                <w:bCs w:val="0"/>
                <w:color w:val="auto"/>
                <w:sz w:val="21"/>
                <w:szCs w:val="21"/>
                <w:vertAlign w:val="baseline"/>
                <w:lang w:val="en-US" w:eastAsia="zh-CN"/>
              </w:rPr>
              <w:t>事项名称</w:t>
            </w:r>
          </w:p>
        </w:tc>
        <w:tc>
          <w:tcPr>
            <w:tcW w:w="163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color w:val="auto"/>
                <w:sz w:val="21"/>
                <w:szCs w:val="21"/>
                <w:vertAlign w:val="baseline"/>
                <w:lang w:val="en-US" w:eastAsia="zh-CN"/>
              </w:rPr>
            </w:pPr>
            <w:r>
              <w:rPr>
                <w:rFonts w:hint="eastAsia" w:ascii="方正黑体简体" w:hAnsi="方正黑体简体" w:eastAsia="方正黑体简体" w:cs="方正黑体简体"/>
                <w:b w:val="0"/>
                <w:bCs w:val="0"/>
                <w:color w:val="auto"/>
                <w:sz w:val="21"/>
                <w:szCs w:val="21"/>
                <w:vertAlign w:val="baseline"/>
                <w:lang w:val="en-US" w:eastAsia="zh-CN"/>
              </w:rPr>
              <w:t>责任科室</w:t>
            </w:r>
          </w:p>
        </w:tc>
        <w:tc>
          <w:tcPr>
            <w:tcW w:w="2114"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color w:val="auto"/>
                <w:sz w:val="21"/>
                <w:szCs w:val="21"/>
                <w:vertAlign w:val="baseline"/>
                <w:lang w:val="en-US" w:eastAsia="zh-CN"/>
              </w:rPr>
            </w:pPr>
            <w:r>
              <w:rPr>
                <w:rFonts w:hint="eastAsia" w:ascii="方正黑体简体" w:hAnsi="方正黑体简体" w:eastAsia="方正黑体简体" w:cs="方正黑体简体"/>
                <w:b w:val="0"/>
                <w:bCs w:val="0"/>
                <w:color w:val="auto"/>
                <w:sz w:val="21"/>
                <w:szCs w:val="21"/>
                <w:vertAlign w:val="baseline"/>
                <w:lang w:val="en-US" w:eastAsia="zh-CN"/>
              </w:rPr>
              <w:t>涉企行政检查</w:t>
            </w:r>
            <w:r>
              <w:rPr>
                <w:rFonts w:hint="default" w:ascii="方正黑体简体" w:hAnsi="方正黑体简体" w:eastAsia="方正黑体简体" w:cs="方正黑体简体"/>
                <w:b w:val="0"/>
                <w:bCs w:val="0"/>
                <w:color w:val="auto"/>
                <w:sz w:val="21"/>
                <w:szCs w:val="21"/>
                <w:vertAlign w:val="baseline"/>
                <w:lang w:val="en-US" w:eastAsia="zh-CN"/>
              </w:rPr>
              <w:t>对象</w:t>
            </w:r>
          </w:p>
        </w:tc>
        <w:tc>
          <w:tcPr>
            <w:tcW w:w="148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color w:val="auto"/>
                <w:sz w:val="21"/>
                <w:szCs w:val="21"/>
                <w:vertAlign w:val="baseline"/>
                <w:lang w:val="en-US" w:eastAsia="zh-CN"/>
              </w:rPr>
            </w:pPr>
            <w:r>
              <w:rPr>
                <w:rFonts w:hint="eastAsia" w:ascii="方正黑体简体" w:hAnsi="方正黑体简体" w:eastAsia="方正黑体简体" w:cs="方正黑体简体"/>
                <w:b w:val="0"/>
                <w:bCs w:val="0"/>
                <w:color w:val="auto"/>
                <w:sz w:val="21"/>
                <w:szCs w:val="21"/>
                <w:vertAlign w:val="baseline"/>
                <w:lang w:val="en-US" w:eastAsia="zh-CN"/>
              </w:rPr>
              <w:t>涉企行政检查</w:t>
            </w:r>
            <w:r>
              <w:rPr>
                <w:rFonts w:hint="default" w:ascii="方正黑体简体" w:hAnsi="方正黑体简体" w:eastAsia="方正黑体简体" w:cs="方正黑体简体"/>
                <w:b w:val="0"/>
                <w:bCs w:val="0"/>
                <w:color w:val="auto"/>
                <w:sz w:val="21"/>
                <w:szCs w:val="21"/>
                <w:vertAlign w:val="baseline"/>
                <w:lang w:val="en-US" w:eastAsia="zh-CN"/>
              </w:rPr>
              <w:t>频次</w:t>
            </w:r>
          </w:p>
        </w:tc>
        <w:tc>
          <w:tcPr>
            <w:tcW w:w="15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color w:val="auto"/>
                <w:sz w:val="21"/>
                <w:szCs w:val="21"/>
                <w:vertAlign w:val="baseline"/>
                <w:lang w:val="en-US" w:eastAsia="zh-CN"/>
              </w:rPr>
            </w:pPr>
            <w:r>
              <w:rPr>
                <w:rFonts w:hint="eastAsia" w:ascii="方正黑体简体" w:hAnsi="方正黑体简体" w:eastAsia="方正黑体简体" w:cs="方正黑体简体"/>
                <w:b w:val="0"/>
                <w:bCs w:val="0"/>
                <w:color w:val="auto"/>
                <w:sz w:val="21"/>
                <w:szCs w:val="21"/>
                <w:vertAlign w:val="baseline"/>
                <w:lang w:val="en-US" w:eastAsia="zh-CN"/>
              </w:rPr>
              <w:t>涉企行政检查</w:t>
            </w:r>
            <w:r>
              <w:rPr>
                <w:rFonts w:hint="default" w:ascii="方正黑体简体" w:hAnsi="方正黑体简体" w:eastAsia="方正黑体简体" w:cs="方正黑体简体"/>
                <w:b w:val="0"/>
                <w:bCs w:val="0"/>
                <w:color w:val="auto"/>
                <w:sz w:val="21"/>
                <w:szCs w:val="21"/>
                <w:vertAlign w:val="baseline"/>
                <w:lang w:val="en-US" w:eastAsia="zh-CN"/>
              </w:rPr>
              <w:t>时间安排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8" w:hRule="exact"/>
          <w:jc w:val="center"/>
        </w:trPr>
        <w:tc>
          <w:tcPr>
            <w:tcW w:w="8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z w:val="21"/>
                <w:szCs w:val="21"/>
                <w:vertAlign w:val="baseline"/>
                <w:lang w:val="en-US" w:eastAsia="zh-CN"/>
              </w:rPr>
            </w:pPr>
            <w:r>
              <w:rPr>
                <w:rFonts w:hint="default" w:ascii="Times New Roman" w:hAnsi="Times New Roman" w:eastAsia="方正仿宋_GBK" w:cs="Times New Roman"/>
                <w:b w:val="0"/>
                <w:bCs w:val="0"/>
                <w:color w:val="auto"/>
                <w:sz w:val="21"/>
                <w:szCs w:val="21"/>
                <w:vertAlign w:val="baseline"/>
                <w:lang w:val="en-US" w:eastAsia="zh-CN"/>
              </w:rPr>
              <w:t>1</w:t>
            </w:r>
          </w:p>
        </w:tc>
        <w:tc>
          <w:tcPr>
            <w:tcW w:w="1868"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b w:val="0"/>
                <w:bCs w:val="0"/>
                <w:color w:val="auto"/>
                <w:sz w:val="21"/>
                <w:szCs w:val="21"/>
                <w:vertAlign w:val="baseline"/>
                <w:lang w:val="en-US" w:eastAsia="zh-CN"/>
              </w:rPr>
            </w:pPr>
            <w:r>
              <w:rPr>
                <w:rFonts w:hint="default" w:ascii="Times New Roman" w:hAnsi="Times New Roman" w:eastAsia="方正仿宋_GBK" w:cs="Times New Roman"/>
                <w:b w:val="0"/>
                <w:bCs w:val="0"/>
                <w:color w:val="auto"/>
                <w:sz w:val="21"/>
                <w:szCs w:val="21"/>
                <w:vertAlign w:val="baseline"/>
                <w:lang w:val="en-US" w:eastAsia="zh-CN"/>
              </w:rPr>
              <w:t>对养老机构的监督检查</w:t>
            </w:r>
          </w:p>
        </w:tc>
        <w:tc>
          <w:tcPr>
            <w:tcW w:w="163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z w:val="21"/>
                <w:szCs w:val="21"/>
                <w:vertAlign w:val="baseline"/>
                <w:lang w:val="en-US" w:eastAsia="zh-CN"/>
              </w:rPr>
            </w:pPr>
            <w:r>
              <w:rPr>
                <w:rFonts w:hint="default" w:ascii="Times New Roman" w:hAnsi="Times New Roman" w:eastAsia="方正仿宋_GBK" w:cs="Times New Roman"/>
                <w:b w:val="0"/>
                <w:bCs w:val="0"/>
                <w:color w:val="auto"/>
                <w:sz w:val="21"/>
                <w:szCs w:val="21"/>
                <w:vertAlign w:val="baseline"/>
                <w:lang w:val="en-US" w:eastAsia="zh-CN"/>
              </w:rPr>
              <w:t>养老服务与产业发展科</w:t>
            </w:r>
          </w:p>
        </w:tc>
        <w:tc>
          <w:tcPr>
            <w:tcW w:w="2114"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z w:val="21"/>
                <w:szCs w:val="21"/>
                <w:vertAlign w:val="baseline"/>
                <w:lang w:val="en-US" w:eastAsia="zh-CN"/>
              </w:rPr>
            </w:pPr>
            <w:r>
              <w:rPr>
                <w:rFonts w:hint="eastAsia" w:ascii="Times New Roman" w:hAnsi="Times New Roman" w:eastAsia="方正仿宋_GBK" w:cs="Times New Roman"/>
                <w:b w:val="0"/>
                <w:bCs w:val="0"/>
                <w:color w:val="auto"/>
                <w:sz w:val="21"/>
                <w:szCs w:val="21"/>
                <w:vertAlign w:val="baseline"/>
                <w:lang w:val="en-US" w:eastAsia="zh-CN"/>
              </w:rPr>
              <w:t>养老服务机构</w:t>
            </w:r>
          </w:p>
        </w:tc>
        <w:tc>
          <w:tcPr>
            <w:tcW w:w="148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z w:val="21"/>
                <w:szCs w:val="21"/>
                <w:vertAlign w:val="baseline"/>
                <w:lang w:val="en-US" w:eastAsia="zh-CN"/>
              </w:rPr>
            </w:pPr>
            <w:r>
              <w:rPr>
                <w:rFonts w:hint="eastAsia" w:ascii="Times New Roman" w:hAnsi="Times New Roman" w:eastAsia="方正仿宋_GBK" w:cs="Times New Roman"/>
                <w:b w:val="0"/>
                <w:bCs w:val="0"/>
                <w:color w:val="auto"/>
                <w:sz w:val="21"/>
                <w:szCs w:val="21"/>
                <w:vertAlign w:val="baseline"/>
                <w:lang w:val="en-US" w:eastAsia="zh-CN"/>
              </w:rPr>
              <w:t>每</w:t>
            </w:r>
            <w:r>
              <w:rPr>
                <w:rFonts w:hint="eastAsia" w:eastAsia="方正仿宋_GBK" w:cs="Times New Roman"/>
                <w:b w:val="0"/>
                <w:bCs w:val="0"/>
                <w:color w:val="auto"/>
                <w:sz w:val="21"/>
                <w:szCs w:val="21"/>
                <w:vertAlign w:val="baseline"/>
                <w:lang w:val="en-US" w:eastAsia="zh-CN"/>
              </w:rPr>
              <w:t>季度1</w:t>
            </w:r>
            <w:r>
              <w:rPr>
                <w:rFonts w:hint="eastAsia" w:ascii="Times New Roman" w:hAnsi="Times New Roman" w:eastAsia="方正仿宋_GBK" w:cs="Times New Roman"/>
                <w:b w:val="0"/>
                <w:bCs w:val="0"/>
                <w:color w:val="auto"/>
                <w:sz w:val="21"/>
                <w:szCs w:val="21"/>
                <w:vertAlign w:val="baseline"/>
                <w:lang w:val="en-US" w:eastAsia="zh-CN"/>
              </w:rPr>
              <w:t>次</w:t>
            </w:r>
          </w:p>
        </w:tc>
        <w:tc>
          <w:tcPr>
            <w:tcW w:w="15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z w:val="21"/>
                <w:szCs w:val="21"/>
                <w:vertAlign w:val="baseline"/>
                <w:lang w:val="en-US" w:eastAsia="zh-CN"/>
              </w:rPr>
            </w:pPr>
            <w:r>
              <w:rPr>
                <w:rFonts w:hint="eastAsia" w:ascii="Times New Roman" w:hAnsi="Times New Roman" w:eastAsia="方正仿宋_GBK" w:cs="Times New Roman"/>
                <w:b w:val="0"/>
                <w:bCs w:val="0"/>
                <w:color w:val="auto"/>
                <w:sz w:val="21"/>
                <w:szCs w:val="21"/>
                <w:vertAlign w:val="baseline"/>
                <w:lang w:val="en-US" w:eastAsia="zh-CN"/>
              </w:rPr>
              <w:t>每</w:t>
            </w:r>
            <w:r>
              <w:rPr>
                <w:rFonts w:hint="eastAsia" w:eastAsia="方正仿宋_GBK" w:cs="Times New Roman"/>
                <w:b w:val="0"/>
                <w:bCs w:val="0"/>
                <w:color w:val="auto"/>
                <w:sz w:val="21"/>
                <w:szCs w:val="21"/>
                <w:vertAlign w:val="baseline"/>
                <w:lang w:val="en-US" w:eastAsia="zh-CN"/>
              </w:rPr>
              <w:t>季度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3" w:hRule="exact"/>
          <w:jc w:val="center"/>
        </w:trPr>
        <w:tc>
          <w:tcPr>
            <w:tcW w:w="8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z w:val="21"/>
                <w:szCs w:val="21"/>
                <w:vertAlign w:val="baseline"/>
                <w:lang w:val="en-US" w:eastAsia="zh-CN"/>
              </w:rPr>
            </w:pPr>
            <w:r>
              <w:rPr>
                <w:rFonts w:hint="default" w:ascii="Times New Roman" w:hAnsi="Times New Roman" w:eastAsia="方正仿宋_GBK" w:cs="Times New Roman"/>
                <w:b w:val="0"/>
                <w:bCs w:val="0"/>
                <w:color w:val="auto"/>
                <w:sz w:val="21"/>
                <w:szCs w:val="21"/>
                <w:vertAlign w:val="baseline"/>
                <w:lang w:val="en-US" w:eastAsia="zh-CN"/>
              </w:rPr>
              <w:t>2</w:t>
            </w:r>
          </w:p>
        </w:tc>
        <w:tc>
          <w:tcPr>
            <w:tcW w:w="1868"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b w:val="0"/>
                <w:bCs w:val="0"/>
                <w:color w:val="auto"/>
                <w:sz w:val="21"/>
                <w:szCs w:val="21"/>
                <w:vertAlign w:val="baseline"/>
                <w:lang w:val="en-US" w:eastAsia="zh-CN"/>
              </w:rPr>
            </w:pPr>
            <w:r>
              <w:rPr>
                <w:rFonts w:hint="default" w:ascii="Times New Roman" w:hAnsi="Times New Roman" w:eastAsia="方正仿宋_GBK" w:cs="Times New Roman"/>
                <w:b w:val="0"/>
                <w:bCs w:val="0"/>
                <w:color w:val="auto"/>
                <w:sz w:val="21"/>
                <w:szCs w:val="21"/>
                <w:vertAlign w:val="baseline"/>
                <w:lang w:val="en-US" w:eastAsia="zh-CN"/>
              </w:rPr>
              <w:t>对社会公共墓地、殡仪馆、殡仪服务站开展行政检查</w:t>
            </w:r>
          </w:p>
        </w:tc>
        <w:tc>
          <w:tcPr>
            <w:tcW w:w="163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z w:val="21"/>
                <w:szCs w:val="21"/>
                <w:vertAlign w:val="baseline"/>
                <w:lang w:val="en-US" w:eastAsia="zh-CN"/>
              </w:rPr>
            </w:pPr>
            <w:r>
              <w:rPr>
                <w:rFonts w:hint="default" w:ascii="Times New Roman" w:hAnsi="Times New Roman" w:eastAsia="方正仿宋_GBK" w:cs="Times New Roman"/>
                <w:b w:val="0"/>
                <w:bCs w:val="0"/>
                <w:color w:val="auto"/>
                <w:sz w:val="21"/>
                <w:szCs w:val="21"/>
                <w:vertAlign w:val="baseline"/>
                <w:lang w:val="en-US" w:eastAsia="zh-CN"/>
              </w:rPr>
              <w:t>社会事务科</w:t>
            </w:r>
          </w:p>
        </w:tc>
        <w:tc>
          <w:tcPr>
            <w:tcW w:w="2114"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z w:val="21"/>
                <w:szCs w:val="21"/>
                <w:vertAlign w:val="baseline"/>
                <w:lang w:val="en-US" w:eastAsia="zh-CN"/>
              </w:rPr>
            </w:pPr>
            <w:r>
              <w:rPr>
                <w:rFonts w:hint="eastAsia" w:ascii="Times New Roman" w:hAnsi="Times New Roman" w:eastAsia="方正仿宋_GBK" w:cs="Times New Roman"/>
                <w:b w:val="0"/>
                <w:bCs w:val="0"/>
                <w:color w:val="auto"/>
                <w:sz w:val="21"/>
                <w:szCs w:val="21"/>
                <w:vertAlign w:val="baseline"/>
                <w:lang w:val="en-US" w:eastAsia="zh-CN"/>
              </w:rPr>
              <w:t>公墓</w:t>
            </w:r>
          </w:p>
        </w:tc>
        <w:tc>
          <w:tcPr>
            <w:tcW w:w="148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z w:val="21"/>
                <w:szCs w:val="21"/>
                <w:vertAlign w:val="baseline"/>
                <w:lang w:val="en-US" w:eastAsia="zh-CN"/>
              </w:rPr>
            </w:pPr>
            <w:r>
              <w:rPr>
                <w:rFonts w:hint="eastAsia" w:ascii="Times New Roman" w:hAnsi="Times New Roman" w:eastAsia="方正仿宋_GBK" w:cs="Times New Roman"/>
                <w:b w:val="0"/>
                <w:bCs w:val="0"/>
                <w:color w:val="auto"/>
                <w:sz w:val="21"/>
                <w:szCs w:val="21"/>
                <w:vertAlign w:val="baseline"/>
                <w:lang w:val="en-US" w:eastAsia="zh-CN"/>
              </w:rPr>
              <w:t>每</w:t>
            </w:r>
            <w:r>
              <w:rPr>
                <w:rFonts w:hint="eastAsia" w:eastAsia="方正仿宋_GBK" w:cs="Times New Roman"/>
                <w:b w:val="0"/>
                <w:bCs w:val="0"/>
                <w:color w:val="auto"/>
                <w:sz w:val="21"/>
                <w:szCs w:val="21"/>
                <w:vertAlign w:val="baseline"/>
                <w:lang w:val="en-US" w:eastAsia="zh-CN"/>
              </w:rPr>
              <w:t>季度1</w:t>
            </w:r>
            <w:r>
              <w:rPr>
                <w:rFonts w:hint="eastAsia" w:ascii="Times New Roman" w:hAnsi="Times New Roman" w:eastAsia="方正仿宋_GBK" w:cs="Times New Roman"/>
                <w:b w:val="0"/>
                <w:bCs w:val="0"/>
                <w:color w:val="auto"/>
                <w:sz w:val="21"/>
                <w:szCs w:val="21"/>
                <w:vertAlign w:val="baseline"/>
                <w:lang w:val="en-US" w:eastAsia="zh-CN"/>
              </w:rPr>
              <w:t>次</w:t>
            </w:r>
          </w:p>
        </w:tc>
        <w:tc>
          <w:tcPr>
            <w:tcW w:w="15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z w:val="21"/>
                <w:szCs w:val="21"/>
                <w:vertAlign w:val="baseline"/>
                <w:lang w:val="en-US" w:eastAsia="zh-CN"/>
              </w:rPr>
            </w:pPr>
            <w:r>
              <w:rPr>
                <w:rFonts w:hint="eastAsia" w:ascii="Times New Roman" w:hAnsi="Times New Roman" w:eastAsia="方正仿宋_GBK" w:cs="Times New Roman"/>
                <w:b w:val="0"/>
                <w:bCs w:val="0"/>
                <w:color w:val="auto"/>
                <w:sz w:val="21"/>
                <w:szCs w:val="21"/>
                <w:vertAlign w:val="baseline"/>
                <w:lang w:val="en-US" w:eastAsia="zh-CN"/>
              </w:rPr>
              <w:t>每</w:t>
            </w:r>
            <w:r>
              <w:rPr>
                <w:rFonts w:hint="eastAsia" w:eastAsia="方正仿宋_GBK" w:cs="Times New Roman"/>
                <w:b w:val="0"/>
                <w:bCs w:val="0"/>
                <w:color w:val="auto"/>
                <w:sz w:val="21"/>
                <w:szCs w:val="21"/>
                <w:vertAlign w:val="baseline"/>
                <w:lang w:val="en-US" w:eastAsia="zh-CN"/>
              </w:rPr>
              <w:t>季度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6" w:hRule="exact"/>
          <w:jc w:val="center"/>
        </w:trPr>
        <w:tc>
          <w:tcPr>
            <w:tcW w:w="8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1868"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方正仿宋简体" w:hAnsi="方正仿宋简体" w:eastAsia="方正仿宋简体" w:cs="方正仿宋简体"/>
                <w:b/>
                <w:bCs/>
                <w:color w:val="auto"/>
                <w:sz w:val="21"/>
                <w:szCs w:val="21"/>
                <w:vertAlign w:val="baseline"/>
                <w:lang w:val="en-US" w:eastAsia="zh-CN"/>
              </w:rPr>
            </w:pPr>
          </w:p>
        </w:tc>
        <w:tc>
          <w:tcPr>
            <w:tcW w:w="163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简体" w:hAnsi="方正仿宋简体" w:eastAsia="方正仿宋简体" w:cs="方正仿宋简体"/>
                <w:b/>
                <w:bCs/>
                <w:color w:val="auto"/>
                <w:sz w:val="21"/>
                <w:szCs w:val="21"/>
                <w:vertAlign w:val="baseline"/>
                <w:lang w:val="en-US" w:eastAsia="zh-CN"/>
              </w:rPr>
            </w:pPr>
          </w:p>
        </w:tc>
        <w:tc>
          <w:tcPr>
            <w:tcW w:w="2114"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简体" w:hAnsi="方正仿宋简体" w:eastAsia="方正仿宋简体" w:cs="方正仿宋简体"/>
                <w:b/>
                <w:bCs/>
                <w:color w:val="auto"/>
                <w:sz w:val="21"/>
                <w:szCs w:val="21"/>
                <w:vertAlign w:val="baseline"/>
                <w:lang w:val="en-US" w:eastAsia="zh-CN"/>
              </w:rPr>
            </w:pPr>
          </w:p>
        </w:tc>
        <w:tc>
          <w:tcPr>
            <w:tcW w:w="148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简体" w:hAnsi="方正仿宋简体" w:eastAsia="方正仿宋简体" w:cs="方正仿宋简体"/>
                <w:b/>
                <w:bCs/>
                <w:color w:val="auto"/>
                <w:sz w:val="21"/>
                <w:szCs w:val="21"/>
                <w:vertAlign w:val="baseline"/>
                <w:lang w:val="en-US" w:eastAsia="zh-CN"/>
              </w:rPr>
            </w:pPr>
          </w:p>
        </w:tc>
        <w:tc>
          <w:tcPr>
            <w:tcW w:w="15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简体" w:hAnsi="方正仿宋简体" w:eastAsia="方正仿宋简体" w:cs="方正仿宋简体"/>
                <w:b/>
                <w:bCs/>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1" w:hRule="exact"/>
          <w:jc w:val="center"/>
        </w:trPr>
        <w:tc>
          <w:tcPr>
            <w:tcW w:w="8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1868"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方正仿宋简体" w:hAnsi="方正仿宋简体" w:eastAsia="方正仿宋简体" w:cs="方正仿宋简体"/>
                <w:b w:val="0"/>
                <w:bCs w:val="0"/>
                <w:color w:val="auto"/>
                <w:sz w:val="21"/>
                <w:szCs w:val="21"/>
                <w:vertAlign w:val="baseline"/>
                <w:lang w:val="en-US" w:eastAsia="zh-CN"/>
              </w:rPr>
            </w:pPr>
          </w:p>
        </w:tc>
        <w:tc>
          <w:tcPr>
            <w:tcW w:w="163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2114"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148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15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9" w:hRule="exact"/>
          <w:jc w:val="center"/>
        </w:trPr>
        <w:tc>
          <w:tcPr>
            <w:tcW w:w="8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1868"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方正仿宋简体" w:hAnsi="方正仿宋简体" w:eastAsia="方正仿宋简体" w:cs="方正仿宋简体"/>
                <w:b w:val="0"/>
                <w:bCs w:val="0"/>
                <w:color w:val="auto"/>
                <w:sz w:val="21"/>
                <w:szCs w:val="21"/>
                <w:vertAlign w:val="baseline"/>
                <w:lang w:val="en-US" w:eastAsia="zh-CN"/>
              </w:rPr>
            </w:pPr>
          </w:p>
        </w:tc>
        <w:tc>
          <w:tcPr>
            <w:tcW w:w="163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简体" w:hAnsi="方正仿宋简体" w:eastAsia="方正仿宋简体" w:cs="方正仿宋简体"/>
                <w:b w:val="0"/>
                <w:bCs w:val="0"/>
                <w:color w:val="auto"/>
                <w:sz w:val="21"/>
                <w:szCs w:val="21"/>
                <w:vertAlign w:val="baseline"/>
                <w:lang w:val="en-US" w:eastAsia="zh-CN"/>
              </w:rPr>
            </w:pPr>
          </w:p>
        </w:tc>
        <w:tc>
          <w:tcPr>
            <w:tcW w:w="2114"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简体" w:hAnsi="方正仿宋简体" w:eastAsia="方正仿宋简体" w:cs="方正仿宋简体"/>
                <w:b w:val="0"/>
                <w:bCs w:val="0"/>
                <w:color w:val="auto"/>
                <w:sz w:val="21"/>
                <w:szCs w:val="21"/>
                <w:vertAlign w:val="baseline"/>
                <w:lang w:val="en-US" w:eastAsia="zh-CN"/>
              </w:rPr>
            </w:pPr>
          </w:p>
        </w:tc>
        <w:tc>
          <w:tcPr>
            <w:tcW w:w="148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简体" w:hAnsi="方正仿宋简体" w:eastAsia="方正仿宋简体" w:cs="方正仿宋简体"/>
                <w:b w:val="0"/>
                <w:bCs w:val="0"/>
                <w:color w:val="auto"/>
                <w:sz w:val="21"/>
                <w:szCs w:val="21"/>
                <w:vertAlign w:val="baseline"/>
                <w:lang w:val="en-US" w:eastAsia="zh-CN"/>
              </w:rPr>
            </w:pPr>
          </w:p>
        </w:tc>
        <w:tc>
          <w:tcPr>
            <w:tcW w:w="15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简体" w:hAnsi="方正仿宋简体" w:eastAsia="方正仿宋简体" w:cs="方正仿宋简体"/>
                <w:b w:val="0"/>
                <w:bCs w:val="0"/>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6" w:hRule="exact"/>
          <w:jc w:val="center"/>
        </w:trPr>
        <w:tc>
          <w:tcPr>
            <w:tcW w:w="8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1868"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方正仿宋简体" w:hAnsi="方正仿宋简体" w:eastAsia="方正仿宋简体" w:cs="方正仿宋简体"/>
                <w:b w:val="0"/>
                <w:bCs w:val="0"/>
                <w:color w:val="auto"/>
                <w:sz w:val="21"/>
                <w:szCs w:val="21"/>
                <w:vertAlign w:val="baseline"/>
                <w:lang w:val="en-US" w:eastAsia="zh-CN"/>
              </w:rPr>
            </w:pPr>
          </w:p>
        </w:tc>
        <w:tc>
          <w:tcPr>
            <w:tcW w:w="163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2114"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148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15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0" w:hRule="exact"/>
          <w:jc w:val="center"/>
        </w:trPr>
        <w:tc>
          <w:tcPr>
            <w:tcW w:w="8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1868"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方正仿宋简体" w:hAnsi="方正仿宋简体" w:eastAsia="方正仿宋简体" w:cs="方正仿宋简体"/>
                <w:b w:val="0"/>
                <w:bCs w:val="0"/>
                <w:color w:val="auto"/>
                <w:sz w:val="21"/>
                <w:szCs w:val="21"/>
                <w:vertAlign w:val="baseline"/>
                <w:lang w:val="en-US" w:eastAsia="zh-CN"/>
              </w:rPr>
            </w:pPr>
          </w:p>
        </w:tc>
        <w:tc>
          <w:tcPr>
            <w:tcW w:w="163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2114"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1486"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c>
          <w:tcPr>
            <w:tcW w:w="1500" w:type="dxa"/>
            <w:vAlign w:val="center"/>
          </w:tcPr>
          <w:p>
            <w:pPr>
              <w:pStyle w:val="6"/>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方正仿宋简体" w:hAnsi="方正仿宋简体" w:eastAsia="方正仿宋简体" w:cs="方正仿宋简体"/>
                <w:b w:val="0"/>
                <w:bCs w:val="0"/>
                <w:color w:val="auto"/>
                <w:sz w:val="21"/>
                <w:szCs w:val="21"/>
                <w:vertAlign w:val="baseline"/>
                <w:lang w:val="en-US" w:eastAsia="zh-CN"/>
              </w:rPr>
            </w:pPr>
          </w:p>
        </w:tc>
      </w:tr>
    </w:tbl>
    <w:p>
      <w:pPr>
        <w:rPr>
          <w:rFonts w:hint="default"/>
          <w:color w:val="auto"/>
          <w:lang w:val="en-US" w:eastAsia="zh-CN"/>
        </w:rPr>
      </w:pPr>
    </w:p>
    <w:sectPr>
      <w:pgSz w:w="11906" w:h="16838"/>
      <w:pgMar w:top="2098" w:right="1474" w:bottom="1984" w:left="1587" w:header="851" w:footer="992" w:gutter="0"/>
      <w:pgNumType w:fmt="decimal"/>
      <w:cols w:space="0" w:num="1"/>
      <w:rtlGutter w:val="0"/>
      <w:docGrid w:linePitch="29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-300990</wp:posOffset>
              </wp:positionV>
              <wp:extent cx="654050" cy="2882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54050" cy="2882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23.7pt;height:22.7pt;width:51.5pt;mso-position-horizontal:outside;mso-position-horizontal-relative:margin;z-index:251660288;mso-width-relative:page;mso-height-relative:page;" filled="f" stroked="f" coordsize="21600,21600" o:gfxdata="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E+aBp9UAAAAHAQAADwAAAAAA&#10;AAABACAAAAAiAAAAZHJzL2Rvd25yZXYueG1sUEsBAhQAFAAAAAgAh07iQE93Rp0WAgAAEwQAAA4A&#10;AAAAAAAAAQAgAAAAJAEAAGRycy9lMm9Eb2MueG1sUEsFBgAAAAAGAAYAWQEAAKwFAAAAAA==&#10;">
              <v:fill on="f" focussize="0,0"/>
              <v:stroke on="f" weight="0.5pt"/>
              <v:imagedata o:title=""/>
              <o:lock v:ext="edit" aspectratio="f"/>
              <v:textbox inset="0mm,0mm,0mm,0mm">
                <w:txbxContent>
                  <w:p>
                    <w:pPr>
                      <w:pStyle w:val="4"/>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A01D61"/>
    <w:rsid w:val="00102B39"/>
    <w:rsid w:val="009C4FE2"/>
    <w:rsid w:val="01CE39BA"/>
    <w:rsid w:val="02222FC8"/>
    <w:rsid w:val="04940103"/>
    <w:rsid w:val="096C3D89"/>
    <w:rsid w:val="0C3F2232"/>
    <w:rsid w:val="0D5D79BD"/>
    <w:rsid w:val="0DFF4EA7"/>
    <w:rsid w:val="0E470C70"/>
    <w:rsid w:val="0E5E61FE"/>
    <w:rsid w:val="0E626196"/>
    <w:rsid w:val="0F5A1C3A"/>
    <w:rsid w:val="1287129D"/>
    <w:rsid w:val="12B534DE"/>
    <w:rsid w:val="12EE43C3"/>
    <w:rsid w:val="13E80CF1"/>
    <w:rsid w:val="15456C6C"/>
    <w:rsid w:val="167F089C"/>
    <w:rsid w:val="16E326D4"/>
    <w:rsid w:val="17036FE9"/>
    <w:rsid w:val="18157BAE"/>
    <w:rsid w:val="183E1AE8"/>
    <w:rsid w:val="1873500D"/>
    <w:rsid w:val="19450F10"/>
    <w:rsid w:val="1AF219E9"/>
    <w:rsid w:val="1C433E74"/>
    <w:rsid w:val="1C57349A"/>
    <w:rsid w:val="1CC108E8"/>
    <w:rsid w:val="1D2B046E"/>
    <w:rsid w:val="1DA9342A"/>
    <w:rsid w:val="1E944CD7"/>
    <w:rsid w:val="1EF05DB4"/>
    <w:rsid w:val="2064708D"/>
    <w:rsid w:val="21D23C74"/>
    <w:rsid w:val="21E406B2"/>
    <w:rsid w:val="22AC11DE"/>
    <w:rsid w:val="22D51674"/>
    <w:rsid w:val="2355798B"/>
    <w:rsid w:val="23A862A4"/>
    <w:rsid w:val="24B10696"/>
    <w:rsid w:val="26905DEB"/>
    <w:rsid w:val="27E5323B"/>
    <w:rsid w:val="296E7D96"/>
    <w:rsid w:val="2CFC5AA8"/>
    <w:rsid w:val="2DE42163"/>
    <w:rsid w:val="2EAA3D45"/>
    <w:rsid w:val="300C5DC7"/>
    <w:rsid w:val="303E678D"/>
    <w:rsid w:val="317358E9"/>
    <w:rsid w:val="31F23D5A"/>
    <w:rsid w:val="32F07378"/>
    <w:rsid w:val="339A1276"/>
    <w:rsid w:val="34AE0912"/>
    <w:rsid w:val="35F14670"/>
    <w:rsid w:val="361B66E0"/>
    <w:rsid w:val="369F31F1"/>
    <w:rsid w:val="379B0834"/>
    <w:rsid w:val="385A2697"/>
    <w:rsid w:val="388D5B11"/>
    <w:rsid w:val="39766CDD"/>
    <w:rsid w:val="39F93FED"/>
    <w:rsid w:val="3B0E008A"/>
    <w:rsid w:val="3D1674C4"/>
    <w:rsid w:val="3D6E4EA8"/>
    <w:rsid w:val="3D9854E8"/>
    <w:rsid w:val="3EA12F6E"/>
    <w:rsid w:val="40566CE3"/>
    <w:rsid w:val="42560AF9"/>
    <w:rsid w:val="42E87074"/>
    <w:rsid w:val="43CA5AEA"/>
    <w:rsid w:val="45EA4BFE"/>
    <w:rsid w:val="45F83ACB"/>
    <w:rsid w:val="47641B58"/>
    <w:rsid w:val="48410A91"/>
    <w:rsid w:val="48440FE4"/>
    <w:rsid w:val="487B2924"/>
    <w:rsid w:val="48A23833"/>
    <w:rsid w:val="499C1330"/>
    <w:rsid w:val="4C7956D6"/>
    <w:rsid w:val="4D16571D"/>
    <w:rsid w:val="4D972C43"/>
    <w:rsid w:val="4E6D1689"/>
    <w:rsid w:val="4ECA7129"/>
    <w:rsid w:val="50270321"/>
    <w:rsid w:val="502F639F"/>
    <w:rsid w:val="51B1279C"/>
    <w:rsid w:val="53317BA3"/>
    <w:rsid w:val="53D06127"/>
    <w:rsid w:val="54D65193"/>
    <w:rsid w:val="56B75AE8"/>
    <w:rsid w:val="590A624B"/>
    <w:rsid w:val="5B744CE9"/>
    <w:rsid w:val="5BF3055E"/>
    <w:rsid w:val="5BFE6CB3"/>
    <w:rsid w:val="5CC63145"/>
    <w:rsid w:val="5D3472EB"/>
    <w:rsid w:val="5F217AC5"/>
    <w:rsid w:val="5F2B69D9"/>
    <w:rsid w:val="6020369E"/>
    <w:rsid w:val="60680E6E"/>
    <w:rsid w:val="615B4F3A"/>
    <w:rsid w:val="624733B5"/>
    <w:rsid w:val="632E0056"/>
    <w:rsid w:val="633F526D"/>
    <w:rsid w:val="634D03CE"/>
    <w:rsid w:val="64DA0416"/>
    <w:rsid w:val="663D2F8D"/>
    <w:rsid w:val="664101E3"/>
    <w:rsid w:val="680B2F58"/>
    <w:rsid w:val="68535329"/>
    <w:rsid w:val="69E37B99"/>
    <w:rsid w:val="6A206EB1"/>
    <w:rsid w:val="6A7028DB"/>
    <w:rsid w:val="6B1D2858"/>
    <w:rsid w:val="6EF25D22"/>
    <w:rsid w:val="6F074C73"/>
    <w:rsid w:val="721E124A"/>
    <w:rsid w:val="729344A3"/>
    <w:rsid w:val="72F0503F"/>
    <w:rsid w:val="732F185A"/>
    <w:rsid w:val="73E07928"/>
    <w:rsid w:val="745C5210"/>
    <w:rsid w:val="74D22B34"/>
    <w:rsid w:val="752723D0"/>
    <w:rsid w:val="752D29DD"/>
    <w:rsid w:val="755516F3"/>
    <w:rsid w:val="763137CE"/>
    <w:rsid w:val="76E05C2A"/>
    <w:rsid w:val="76F559C9"/>
    <w:rsid w:val="77590E4B"/>
    <w:rsid w:val="788F4E03"/>
    <w:rsid w:val="78A06EA0"/>
    <w:rsid w:val="7B287CAB"/>
    <w:rsid w:val="7CC608CD"/>
    <w:rsid w:val="7EA01D61"/>
    <w:rsid w:val="7EC70FF9"/>
    <w:rsid w:val="7FF74D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unhideWhenUsed/>
    <w:qFormat/>
    <w:uiPriority w:val="0"/>
    <w:pPr>
      <w:jc w:val="center"/>
    </w:pPr>
    <w:rPr>
      <w:rFonts w:eastAsia="隶书"/>
      <w:b/>
      <w:bCs/>
      <w:sz w:val="84"/>
      <w:szCs w:val="20"/>
    </w:rPr>
  </w:style>
  <w:style w:type="paragraph" w:styleId="3">
    <w:name w:val="Salutation"/>
    <w:basedOn w:val="1"/>
    <w:next w:val="1"/>
    <w:qFormat/>
    <w:uiPriority w:val="0"/>
  </w:style>
  <w:style w:type="paragraph" w:styleId="4">
    <w:name w:val="footer"/>
    <w:basedOn w:val="1"/>
    <w:next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2"/>
    <w:basedOn w:val="1"/>
    <w:qFormat/>
    <w:uiPriority w:val="0"/>
    <w:pPr>
      <w:spacing w:line="480" w:lineRule="auto"/>
    </w:p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basedOn w:val="1"/>
    <w:qFormat/>
    <w:uiPriority w:val="0"/>
    <w:pPr>
      <w:spacing w:before="240" w:after="60"/>
      <w:jc w:val="center"/>
      <w:outlineLvl w:val="0"/>
    </w:pPr>
    <w:rPr>
      <w:rFonts w:ascii="Arial" w:hAnsi="Arial"/>
      <w:b/>
      <w:sz w:val="32"/>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3">
    <w:name w:val="Strong"/>
    <w:basedOn w:val="12"/>
    <w:qFormat/>
    <w:uiPriority w:val="22"/>
    <w:rPr>
      <w:b/>
      <w:bCs/>
    </w:rPr>
  </w:style>
  <w:style w:type="character" w:styleId="14">
    <w:name w:val="page number"/>
    <w:basedOn w:val="12"/>
    <w:qFormat/>
    <w:uiPriority w:val="99"/>
  </w:style>
  <w:style w:type="paragraph" w:styleId="15">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table" w:customStyle="1" w:styleId="16">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33</TotalTime>
  <ScaleCrop>false</ScaleCrop>
  <LinksUpToDate>false</LinksUpToDate>
  <CharactersWithSpaces>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2021-05-20T07:36:00Z</dcterms:created>
  <dc:creator>pc14</dc:creator>
  <cp:lastModifiedBy>lenovo</cp:lastModifiedBy>
  <cp:lastPrinted>2025-12-19T03:05:00Z</cp:lastPrinted>
  <dcterms:modified xsi:type="dcterms:W3CDTF">2025-12-24T01:37:45Z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20DBC449ADAB400AAC75710EF4DD1173</vt:lpwstr>
  </property>
</Properties>
</file>