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360" w:lineRule="exact"/>
        <w:rPr>
          <w:rFonts w:ascii="Times New Roman" w:hAnsi="Times New Roman"/>
        </w:rPr>
      </w:pPr>
      <w:r>
        <w:rPr>
          <w:rFonts w:hint="eastAsia" w:ascii="Times New Roman" w:hAnsi="Times New Roman" w:eastAsia="宋体" w:cs="宋体"/>
        </w:rPr>
        <w:t>表</w:t>
      </w:r>
      <w:r>
        <w:rPr>
          <w:rFonts w:hint="eastAsia" w:ascii="Times New Roman" w:hAnsi="Times New Roman"/>
        </w:rPr>
        <w:t>2-1</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ind w:firstLine="420" w:firstLineChars="200"/>
              <w:rPr>
                <w:rFonts w:ascii="Times New Roman" w:hAnsi="Times New Roman" w:eastAsiaTheme="minorEastAsia"/>
                <w:szCs w:val="21"/>
              </w:rPr>
            </w:pPr>
            <w:r>
              <w:rPr>
                <w:rFonts w:ascii="Times New Roman" w:hAnsi="Times New Roman" w:eastAsiaTheme="minorEastAsia"/>
                <w:szCs w:val="21"/>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rPr>
                <w:rFonts w:ascii="Times New Roman" w:hAnsi="Times New Roman" w:eastAsiaTheme="minorEastAsia"/>
                <w:szCs w:val="21"/>
              </w:rPr>
            </w:pPr>
            <w:r>
              <w:rPr>
                <w:rFonts w:ascii="Times New Roman" w:hAnsi="Times New Roman" w:eastAsiaTheme="minorEastAsia"/>
                <w:szCs w:val="21"/>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cs="方正仿宋简体" w:eastAsiaTheme="minorEastAsia"/>
                <w:szCs w:val="21"/>
              </w:rPr>
              <w:t>企业设立、变更、注销登记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3"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实施依据</w:t>
            </w:r>
          </w:p>
        </w:tc>
        <w:tc>
          <w:tcPr>
            <w:tcW w:w="7582" w:type="dxa"/>
            <w:vAlign w:val="center"/>
          </w:tcPr>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1.《中华人民共和国公司登记管理条例》第二条：“有限责任公司和股份有限公司(以下统称公司)设立、变更、终止，应当依照本条例办理公司登记。”；</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2.《中华人民共和国合伙企业登记管理办法》第二条：“合伙企业的设立、变更、注销，应当依照合伙企业法和本办法的规定办理企业登记。”</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3.《中华人民共和国企业法人登记管理条例》第二条：“具备法人条件的下列企业，应当依照本条例的规定办理企业法人登记：(一)全民所有制企业；(二)集体所有制企业；(三)联营企业；(四)在中华人民共和国境内设立的中外合资经营企业、中外合作经营企业和外资企业；(五)私营企业；(六)依法需要办理企业法人登记的其他企业。”</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cs="方正仿宋简体" w:eastAsiaTheme="minorEastAsia"/>
                <w:szCs w:val="21"/>
              </w:rPr>
              <w:t>4.《中华人民共和国个人独资企业法》第九条：“申请设立个人独资企业，应当由投资人或者其委托的代理人向个人独资企业所在地的登记机关提交设立申请书、投资人身份证明、生产经营场所使用证明等文件。委托代理人申请设立登记时，应当出具投资人的委托书和代理人的合法证明。个人独资企业不得从事法律、行政法规禁止经营的业务；从事法律、行政法规规定须报经有关部门审批的业务，应当在申请设立登记时提交有关部门的批准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4.</w:t>
            </w:r>
            <w:r>
              <w:rPr>
                <w:rFonts w:hint="eastAsia" w:ascii="Times New Roman" w:hAnsi="Times New Roman" w:cs="宋体" w:eastAsiaTheme="minorEastAsia"/>
                <w:szCs w:val="21"/>
              </w:rPr>
              <w:t>其他责任：对企业设立、变更、注销进行备案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60" w:type="dxa"/>
            <w:vAlign w:val="center"/>
          </w:tcPr>
          <w:p>
            <w:pPr>
              <w:spacing w:line="360" w:lineRule="exact"/>
              <w:rPr>
                <w:rFonts w:ascii="Times New Roman" w:hAnsi="Times New Roman" w:eastAsiaTheme="minorEastAsia"/>
                <w:szCs w:val="21"/>
              </w:rPr>
            </w:pPr>
            <w:r>
              <w:rPr>
                <w:rFonts w:ascii="Times New Roman" w:hAnsi="Times New Roman" w:eastAsiaTheme="minorEastAsia"/>
                <w:szCs w:val="21"/>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xml:space="preserve"> 1.《中华人民共和国公司登记管理条例》第五十一条　公司登记机关应当根据下列情况分别作出是否受理的决定：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(一)申请文件、材料齐全，符合法定形式的，或者申请人按照公司登记机关的要求提交全部补正申请文件、材料的，应当决定予以受理。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(二)申请文件、材料齐全，符合法定形式，但公司登记机关认为申请文件、材料需要核实的，应当决定予以受理，同时书面告知申请人需要核实的事项、理由以及时间。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(三)申请文件、材料存在可以当场更正的错误的，应当允许申请人当场予以更正，由申请人在更正处签名或者盖章，注明更正日期；经确认申请文件、材料齐全，符合法定形式的，应当决定予以受理。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(五)不属于公司登记范畴或者不属于本机关登记管辖范围的事项，应当即时决定不予受理，并告知申请人向有关行政机关申请。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公司登记机关对通过信函、电报、电传、传真、电子数据交换和电子邮件等方式提出申请的，应当自收到申请文件、材料之日起5日内作出是否受理的决定。</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第五十二条　除依照本条例第五十三条第一款第(一)项作出准予登记决定的外，公司登记机关决定予以受理的，应当出具《受理通知书》；决定不予受理的，应当出具《不予受理通知书》，说明不予受理的理由，并告知申请人享有依法申请行政复议或者提起行政诉讼的权利。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第五十三条　公司登记机关对决定予以受理的登记申请，应当分别情况在规定的期限内作出是否准予登记的决定：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(一)对申请人到公司登记机关提出的申请予以受理的，应当当场作出准予登记的决定。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(二)对申请人通过信函方式提交的申请予以受理的，应当自受理之日起15日内作出准予登记的决定。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三)通过电报、电传、传真、电子数据交换和电子邮件等方式提交申请的，申请人应当自收到《受理通知书》之日起15日内，提交与电报、电传、传真、电子数据交换和电子邮件等内容一致并符合法定形式的申请文件、材料原件；申请人到公司登记机关提交申请文件、材料原件的，应当当场作出准予登记的决定；申请人通过信函方式提交申请文件、材料原件的，应当自受理之日起15日内作出准予登记的决定。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(四)公司登记机关自发出《受理通知书》之日起60日内，未收到申请文件、材料原件，或者申请文件、材料原件与公司登记机关所受理的申请文件、材料不一致的，应当作出不予登记的决定。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公司登记机关需要对申请文件、材料核实的，应当自受理之日起15日内作出是否准予登记的决定。</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2.同1。</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3.同1。</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4.同1。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公司登记管理条例》《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rPr>
                <w:rFonts w:ascii="Times New Roman" w:hAnsi="Times New Roman" w:eastAsiaTheme="minorEastAsia"/>
                <w:szCs w:val="21"/>
              </w:rPr>
            </w:pPr>
            <w:r>
              <w:rPr>
                <w:rFonts w:ascii="Times New Roman" w:hAnsi="Times New Roman" w:eastAsiaTheme="minorEastAsia"/>
                <w:szCs w:val="21"/>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个体工商户注册、变更、注销登记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5"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1.《个体工商户条例》第二条：“有经营能力的公民，依照本条例规定经工商行政管理部门登记，从事工商业经营的，为个体工商户。 个体工商户可以个人经营，也可以家庭经营。 个体工商户的合法权益受法律保护，任何单位和个人不得侵害。”</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第三条：“县、自治县、不设区的市、市辖区工商行政管理部门为个体工商户的登记机关（以下简称登记机关）。登记机关按照国务院工商行政管理部门的规定，可以委托其下属工商行政管理所办理个体工商户登记。”</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第八条：“申请登记为个体工商户，应当向经营场所所在地登记机关申请注册登记。申请人应当提交登记申请书、身份证明和经营场所证明。 个体工商户登记事项包括经营者姓名和住所、组成形式、经营范围、经营场所。个体工商户使用名称的，名称作为登记事项。”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4.</w:t>
            </w:r>
            <w:r>
              <w:rPr>
                <w:rFonts w:hint="eastAsia" w:ascii="Times New Roman" w:hAnsi="Times New Roman" w:cs="宋体" w:eastAsiaTheme="minorEastAsia"/>
                <w:szCs w:val="21"/>
              </w:rPr>
              <w:t>其他责任：对个体工商户设立、变更、注销进行备案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60" w:type="dxa"/>
            <w:vAlign w:val="center"/>
          </w:tcPr>
          <w:p>
            <w:pPr>
              <w:spacing w:line="360" w:lineRule="exact"/>
              <w:rPr>
                <w:rFonts w:ascii="Times New Roman" w:hAnsi="Times New Roman" w:eastAsiaTheme="minorEastAsia"/>
                <w:szCs w:val="21"/>
              </w:rPr>
            </w:pPr>
            <w:r>
              <w:rPr>
                <w:rFonts w:ascii="Times New Roman" w:hAnsi="Times New Roman" w:eastAsiaTheme="minorEastAsia"/>
                <w:szCs w:val="21"/>
              </w:rPr>
              <w:t>责任事项依据</w:t>
            </w:r>
          </w:p>
        </w:tc>
        <w:tc>
          <w:tcPr>
            <w:tcW w:w="7582" w:type="dxa"/>
            <w:vAlign w:val="center"/>
          </w:tcPr>
          <w:p>
            <w:pPr>
              <w:pStyle w:val="10"/>
              <w:shd w:val="clear" w:color="auto" w:fill="FFFFFF"/>
              <w:spacing w:before="0" w:beforeAutospacing="0" w:after="0" w:afterAutospacing="0" w:line="360" w:lineRule="exact"/>
              <w:ind w:firstLine="420" w:firstLineChars="200"/>
              <w:jc w:val="both"/>
              <w:rPr>
                <w:rFonts w:ascii="Times New Roman" w:hAnsi="Times New Roman" w:eastAsiaTheme="minorEastAsia"/>
                <w:sz w:val="21"/>
                <w:szCs w:val="21"/>
              </w:rPr>
            </w:pPr>
            <w:r>
              <w:rPr>
                <w:rFonts w:hint="eastAsia" w:ascii="Times New Roman" w:hAnsi="Times New Roman" w:eastAsiaTheme="minorEastAsia"/>
                <w:sz w:val="21"/>
                <w:szCs w:val="21"/>
              </w:rPr>
              <w:t>1.《个体工商户条例》第九条　登记机关对申请材料依法审查后，按照下列规定办理： </w:t>
            </w:r>
          </w:p>
          <w:p>
            <w:pPr>
              <w:pStyle w:val="10"/>
              <w:shd w:val="clear" w:color="auto" w:fill="FFFFFF"/>
              <w:spacing w:before="0" w:beforeAutospacing="0" w:after="0" w:afterAutospacing="0" w:line="360" w:lineRule="exact"/>
              <w:ind w:firstLine="420" w:firstLineChars="200"/>
              <w:jc w:val="both"/>
              <w:rPr>
                <w:rFonts w:ascii="Times New Roman" w:hAnsi="Times New Roman" w:eastAsiaTheme="minorEastAsia"/>
                <w:sz w:val="21"/>
                <w:szCs w:val="21"/>
              </w:rPr>
            </w:pPr>
            <w:r>
              <w:rPr>
                <w:rFonts w:hint="eastAsia" w:ascii="Times New Roman" w:hAnsi="Times New Roman" w:eastAsiaTheme="minorEastAsia"/>
                <w:sz w:val="21"/>
                <w:szCs w:val="21"/>
              </w:rPr>
              <w:t>　　（一）申请材料齐全、符合法定形式的，当场予以登记；申请材料不齐全或者不符合法定形式要求的，当场告知申请人需要补正的全部内容； </w:t>
            </w:r>
          </w:p>
          <w:p>
            <w:pPr>
              <w:pStyle w:val="10"/>
              <w:shd w:val="clear" w:color="auto" w:fill="FFFFFF"/>
              <w:spacing w:before="0" w:beforeAutospacing="0" w:after="0" w:afterAutospacing="0" w:line="360" w:lineRule="exact"/>
              <w:ind w:firstLine="420" w:firstLineChars="200"/>
              <w:jc w:val="both"/>
              <w:rPr>
                <w:rFonts w:ascii="Times New Roman" w:hAnsi="Times New Roman" w:eastAsiaTheme="minorEastAsia"/>
                <w:sz w:val="21"/>
                <w:szCs w:val="21"/>
              </w:rPr>
            </w:pPr>
            <w:r>
              <w:rPr>
                <w:rFonts w:hint="eastAsia" w:ascii="Times New Roman" w:hAnsi="Times New Roman" w:eastAsiaTheme="minorEastAsia"/>
                <w:sz w:val="21"/>
                <w:szCs w:val="21"/>
              </w:rPr>
              <w:t>　　（二）需要对申请材料的实质性内容进行核实的，依法进行核查，并自受理申请之日起15日内作出是否予以登记的决定； 　　　　</w:t>
            </w:r>
          </w:p>
          <w:p>
            <w:pPr>
              <w:pStyle w:val="10"/>
              <w:shd w:val="clear" w:color="auto" w:fill="FFFFFF"/>
              <w:spacing w:before="0" w:beforeAutospacing="0" w:after="0" w:afterAutospacing="0" w:line="360" w:lineRule="exact"/>
              <w:ind w:firstLine="420" w:firstLineChars="200"/>
              <w:jc w:val="both"/>
              <w:rPr>
                <w:rFonts w:ascii="Times New Roman" w:hAnsi="Times New Roman" w:eastAsiaTheme="minorEastAsia"/>
                <w:sz w:val="21"/>
                <w:szCs w:val="21"/>
              </w:rPr>
            </w:pPr>
            <w:r>
              <w:rPr>
                <w:rFonts w:hint="eastAsia" w:ascii="Times New Roman" w:hAnsi="Times New Roman" w:eastAsiaTheme="minorEastAsia"/>
                <w:sz w:val="21"/>
                <w:szCs w:val="21"/>
              </w:rPr>
              <w:t>（三）不符合个体工商户登记条件的，不予登记并书面告知申请人，说明理由，告知申请人有权依法申请行政复议、提起行政诉讼。 予以注册登记的，登记机关应当自登记之日起10日内发给营业执照。 国家推行电子营业执照。电子营业执照与纸质营业执照具有同等法律效力。</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2.同1。</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3.同1。</w:t>
            </w:r>
          </w:p>
          <w:p>
            <w:pPr>
              <w:pStyle w:val="10"/>
              <w:shd w:val="clear" w:color="auto" w:fill="FFFFFF"/>
              <w:spacing w:before="0" w:beforeAutospacing="0" w:after="0" w:afterAutospacing="0" w:line="360" w:lineRule="exact"/>
              <w:ind w:firstLine="420" w:firstLineChars="200"/>
              <w:jc w:val="both"/>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4.同1。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个体工商户条例》《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jc w:val="left"/>
        <w:rPr>
          <w:rFonts w:ascii="Times New Roman" w:hAnsi="Times New Roman" w:eastAsia="方正黑体简体"/>
          <w:sz w:val="32"/>
          <w:szCs w:val="32"/>
        </w:rPr>
      </w:pPr>
      <w:r>
        <w:rPr>
          <w:rFonts w:ascii="Times New Roman" w:hAnsi="Times New Roman" w:eastAsia="方正黑体简体"/>
          <w:b/>
          <w:bCs/>
        </w:rPr>
        <w:br w:type="page"/>
      </w:r>
    </w:p>
    <w:p>
      <w:pPr>
        <w:pStyle w:val="3"/>
        <w:spacing w:line="360" w:lineRule="exact"/>
        <w:rPr>
          <w:rFonts w:ascii="Times New Roman" w:hAnsi="Times New Roman"/>
        </w:rPr>
      </w:pPr>
      <w:r>
        <w:rPr>
          <w:rFonts w:hint="eastAsia" w:ascii="Times New Roman" w:hAnsi="Times New Roman"/>
        </w:rPr>
        <w:t>表2-3</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农民专业合作社设立、变更、注销登记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59"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农民专业合作社登记管理条例》第二条：“农民专业合作社的设立、变更和注销，应当依照《中华人民共和国农民专业合作社法》和本条例的规定办理登记。申请办理农民专业合作社登记，申请人应当对申请材料的真实性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4"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4.</w:t>
            </w:r>
            <w:r>
              <w:rPr>
                <w:rFonts w:hint="eastAsia" w:ascii="Times New Roman" w:hAnsi="Times New Roman" w:cs="宋体" w:eastAsiaTheme="minorEastAsia"/>
                <w:szCs w:val="21"/>
              </w:rPr>
              <w:t>其他责任：对农民专业合作社设立、变更、注销进行备案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1.《农民专业合作社登记管理条例》第十六条　申请人提交的登记申请材料齐全、符合法定形式，登记机关能够当场登记的，应予当场登记，发给营业执照。 </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除前款规定情形外，登记机关应当自受理申请之日起20日内，做出是否登记的决定。予以登记的，发给营业执照；不予登记的，应当给予书面答复，并说明理由。营业执照签发日期为农民专业合作社成立日期。</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2.同1。</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3.同1。</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cs="方正仿宋简体" w:eastAsiaTheme="minorEastAsia"/>
                <w:kern w:val="0"/>
                <w:szCs w:val="21"/>
              </w:rPr>
              <w:t>4.同1。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表2-4</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广告发布登记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9"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中华人民共和国广告法》第六条：“国务院市场监督管理部门主管全国的广告监督管理工作，国务院有关部门在各自的职责范围内负责广告管理相关工作。县级以上地方市场监督管理部门主管本行政区域的广告监督管理工作，县级以上地方人民政府有关部门在各自的职责范围内负责广告管理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4.</w:t>
            </w:r>
            <w:r>
              <w:rPr>
                <w:rFonts w:hint="eastAsia" w:ascii="Times New Roman" w:hAnsi="Times New Roman" w:cs="宋体" w:eastAsiaTheme="minorEastAsia"/>
                <w:szCs w:val="21"/>
              </w:rPr>
              <w:t>其他责任：对广告发布进行备案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2"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责任事项依据</w:t>
            </w:r>
          </w:p>
        </w:tc>
        <w:tc>
          <w:tcPr>
            <w:tcW w:w="7582" w:type="dxa"/>
            <w:vAlign w:val="center"/>
          </w:tcPr>
          <w:p>
            <w:pPr>
              <w:pStyle w:val="10"/>
              <w:shd w:val="clear" w:color="auto" w:fill="FFFFFF"/>
              <w:spacing w:before="0" w:beforeAutospacing="0" w:after="0" w:afterAutospacing="0" w:line="360" w:lineRule="exact"/>
              <w:ind w:firstLine="420" w:firstLineChars="200"/>
              <w:jc w:val="both"/>
              <w:rPr>
                <w:rFonts w:ascii="Times New Roman" w:hAnsi="Times New Roman" w:cs="Times New Roman" w:eastAsiaTheme="minorEastAsia"/>
                <w:kern w:val="2"/>
                <w:sz w:val="21"/>
                <w:szCs w:val="21"/>
              </w:rPr>
            </w:pPr>
            <w:r>
              <w:rPr>
                <w:rFonts w:hint="eastAsia" w:ascii="Times New Roman" w:hAnsi="Times New Roman" w:cs="Times New Roman" w:eastAsiaTheme="minorEastAsia"/>
                <w:kern w:val="2"/>
                <w:sz w:val="21"/>
                <w:szCs w:val="21"/>
              </w:rPr>
              <w:t>1.《中华人民共和国广告法》　第四十七条　广告主申请广告审查，应当依照法律、行政法规向广告审查机关提交有关证明文件。</w:t>
            </w:r>
          </w:p>
          <w:p>
            <w:pPr>
              <w:pStyle w:val="10"/>
              <w:shd w:val="clear" w:color="auto" w:fill="FFFFFF"/>
              <w:spacing w:before="0" w:beforeAutospacing="0" w:after="0" w:afterAutospacing="0" w:line="360" w:lineRule="exact"/>
              <w:ind w:firstLine="420" w:firstLineChars="200"/>
              <w:jc w:val="both"/>
              <w:rPr>
                <w:rFonts w:ascii="Times New Roman" w:hAnsi="Times New Roman" w:cs="Times New Roman" w:eastAsiaTheme="minorEastAsia"/>
                <w:kern w:val="2"/>
                <w:sz w:val="21"/>
                <w:szCs w:val="21"/>
              </w:rPr>
            </w:pPr>
            <w:r>
              <w:rPr>
                <w:rFonts w:hint="eastAsia" w:ascii="Times New Roman" w:hAnsi="Times New Roman" w:cs="Times New Roman" w:eastAsiaTheme="minorEastAsia"/>
                <w:kern w:val="2"/>
                <w:sz w:val="21"/>
                <w:szCs w:val="21"/>
              </w:rPr>
              <w:t>广告审查机关应当依照法律、行政法规规定作出审查决定，并应当将审查批准文件抄送同级市场监督管理部门。广告审查机关应当及时向社会公布批准的广告。</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2.同1。</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3.同1。</w:t>
            </w:r>
          </w:p>
          <w:p>
            <w:pPr>
              <w:pStyle w:val="10"/>
              <w:shd w:val="clear" w:color="auto" w:fill="FFFFFF"/>
              <w:spacing w:before="0" w:beforeAutospacing="0" w:after="0" w:afterAutospacing="0" w:line="360" w:lineRule="exact"/>
              <w:ind w:firstLine="420" w:firstLineChars="200"/>
              <w:jc w:val="both"/>
              <w:rPr>
                <w:rFonts w:ascii="Times New Roman" w:hAnsi="Times New Roman" w:cs="Times New Roman" w:eastAsiaTheme="minorEastAsia"/>
                <w:kern w:val="2"/>
                <w:sz w:val="21"/>
                <w:szCs w:val="21"/>
              </w:rPr>
            </w:pPr>
            <w:r>
              <w:rPr>
                <w:rFonts w:hint="eastAsia" w:ascii="Times New Roman" w:hAnsi="Times New Roman" w:cs="方正仿宋简体" w:eastAsiaTheme="minorEastAsia"/>
                <w:sz w:val="21"/>
                <w:szCs w:val="21"/>
              </w:rPr>
              <w:t>4.同1。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广告法》《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表2-5</w:t>
      </w:r>
    </w:p>
    <w:tbl>
      <w:tblPr>
        <w:tblStyle w:val="11"/>
        <w:tblpPr w:leftFromText="180" w:rightFromText="180" w:vertAnchor="page" w:horzAnchor="margin" w:tblpXSpec="center" w:tblpY="2326"/>
        <w:tblW w:w="9134" w:type="dxa"/>
        <w:tblInd w:w="0" w:type="dxa"/>
        <w:tblLayout w:type="autofit"/>
        <w:tblCellMar>
          <w:top w:w="0" w:type="dxa"/>
          <w:left w:w="108" w:type="dxa"/>
          <w:bottom w:w="0" w:type="dxa"/>
          <w:right w:w="108" w:type="dxa"/>
        </w:tblCellMar>
      </w:tblPr>
      <w:tblGrid>
        <w:gridCol w:w="1802"/>
        <w:gridCol w:w="7332"/>
      </w:tblGrid>
      <w:tr>
        <w:tblPrEx>
          <w:tblCellMar>
            <w:top w:w="0" w:type="dxa"/>
            <w:left w:w="108" w:type="dxa"/>
            <w:bottom w:w="0" w:type="dxa"/>
            <w:right w:w="108" w:type="dxa"/>
          </w:tblCellMar>
        </w:tblPrEx>
        <w:trPr>
          <w:trHeight w:val="167" w:hRule="atLeast"/>
        </w:trPr>
        <w:tc>
          <w:tcPr>
            <w:tcW w:w="18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序    号</w:t>
            </w:r>
          </w:p>
        </w:tc>
        <w:tc>
          <w:tcPr>
            <w:tcW w:w="7332" w:type="dxa"/>
            <w:tcBorders>
              <w:top w:val="single" w:color="auto" w:sz="4" w:space="0"/>
              <w:left w:val="nil"/>
              <w:bottom w:val="single" w:color="auto" w:sz="4" w:space="0"/>
              <w:right w:val="single" w:color="auto" w:sz="4" w:space="0"/>
            </w:tcBorders>
            <w:shd w:val="clear" w:color="auto" w:fill="auto"/>
            <w:noWrap/>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5</w:t>
            </w:r>
          </w:p>
        </w:tc>
      </w:tr>
      <w:tr>
        <w:tblPrEx>
          <w:tblCellMar>
            <w:top w:w="0" w:type="dxa"/>
            <w:left w:w="108" w:type="dxa"/>
            <w:bottom w:w="0" w:type="dxa"/>
            <w:right w:w="108" w:type="dxa"/>
          </w:tblCellMar>
        </w:tblPrEx>
        <w:trPr>
          <w:trHeight w:val="167" w:hRule="atLeast"/>
        </w:trPr>
        <w:tc>
          <w:tcPr>
            <w:tcW w:w="180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权力类型</w:t>
            </w:r>
          </w:p>
        </w:tc>
        <w:tc>
          <w:tcPr>
            <w:tcW w:w="7332"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行政许可</w:t>
            </w:r>
          </w:p>
        </w:tc>
      </w:tr>
      <w:tr>
        <w:trPr>
          <w:trHeight w:val="242" w:hRule="atLeast"/>
        </w:trPr>
        <w:tc>
          <w:tcPr>
            <w:tcW w:w="1802"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权力项目名称</w:t>
            </w:r>
          </w:p>
        </w:tc>
        <w:tc>
          <w:tcPr>
            <w:tcW w:w="7332"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固定资产投资项目节能审查（技术改造项目除外）</w:t>
            </w:r>
          </w:p>
        </w:tc>
      </w:tr>
      <w:tr>
        <w:trPr>
          <w:trHeight w:val="2670" w:hRule="atLeast"/>
        </w:trPr>
        <w:tc>
          <w:tcPr>
            <w:tcW w:w="180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实施依据</w:t>
            </w:r>
          </w:p>
        </w:tc>
        <w:tc>
          <w:tcPr>
            <w:tcW w:w="7332"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中华人民共和国节约能源法》第十五条“国家实行固定资产投资项目节能评估和审查制度。不符合强制性节能标准的项目，建设单位不得开工建设；已经建成的，不得投入生产、使用。政府投资项目不符合强制性节能标准的，依法负责项目审批的机关不得批准建设。具体办法由国务院管理节能工作的部门会同国务院有关部门制定”。</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固定资产投资项目节能审查办法》第三条“固定资产投资项目节能审查意见是项目开工建设、竣工验收和运营管理的重要依据。政府投资项目，建设单位在报送项目可行性研究报告前，需取得节能审查机关出具的节能审查意见。企业投资项目，建设单位需在开工建设前取得节能审查机关出具的节能审查意见。未按本办法规定进行节能审查，或节能审查未通过的项目，建设单位不得开工建设，已经建成的不得投入生产、使用”、第五条“国家发展改革委核报国务院审批以及国家发展改革委审批的政府投资项目，建设单位在报送项目可行性研究报告前，需取得省级节能审查机关出具的节能审查意见。国家发展改革委核报国务院核准以及国家发展改革委核准的企业投资项目，建设单位需在开工建设前取得省级节能审查机关出具的节能审查意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四川省固定资产投资项目节能审查实施办法》第四条“固定资产投资项目节能审查意见是项目开工建设、竣工验收和运营管理的重要依据。政府投资项目，在报送项目可行性研究报告前，需取得发展改革部门出具的节能审查意见。企业投资项目，需在开工建设前取得发展改革部门出具的节能审查意见”、第七条“固定资产投资项目节能审查由省、市（州）、县（市、区）三级发展改革部门按照项目管理权限和项目用能量实行分级管理。”。</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《不单独进行节能审查的行业目录》“风电站、光伏电站、水电站、核电站、生物质能、地热能、抽水蓄能电站等”。</w:t>
            </w:r>
          </w:p>
        </w:tc>
      </w:tr>
      <w:tr>
        <w:tblPrEx>
          <w:tblCellMar>
            <w:top w:w="0" w:type="dxa"/>
            <w:left w:w="108" w:type="dxa"/>
            <w:bottom w:w="0" w:type="dxa"/>
            <w:right w:w="108" w:type="dxa"/>
          </w:tblCellMar>
        </w:tblPrEx>
        <w:trPr>
          <w:trHeight w:val="167" w:hRule="atLeast"/>
        </w:trPr>
        <w:tc>
          <w:tcPr>
            <w:tcW w:w="180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责任主体</w:t>
            </w:r>
          </w:p>
        </w:tc>
        <w:tc>
          <w:tcPr>
            <w:tcW w:w="7332"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成都市成华区行政审批局</w:t>
            </w:r>
          </w:p>
        </w:tc>
      </w:tr>
      <w:tr>
        <w:tblPrEx>
          <w:tblCellMar>
            <w:top w:w="0" w:type="dxa"/>
            <w:left w:w="108" w:type="dxa"/>
            <w:bottom w:w="0" w:type="dxa"/>
            <w:right w:w="108" w:type="dxa"/>
          </w:tblCellMar>
        </w:tblPrEx>
        <w:trPr>
          <w:trHeight w:val="557" w:hRule="atLeast"/>
        </w:trPr>
        <w:tc>
          <w:tcPr>
            <w:tcW w:w="180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w:t>
            </w:r>
          </w:p>
        </w:tc>
        <w:tc>
          <w:tcPr>
            <w:tcW w:w="7332"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1.受理责任：公示应当提交的材料，对书面申请材料进行形式审查，一次性告知补正材料，依法受理或不予受理（不予受理应当告知理由，并告知申请人享有依法申请行政复议或者提起行政诉讼的权力）。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2.审查责任：对书面申请材料进行审查，并提出意见。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3.决定责任：在规定时间内作出行政许可或不予行政许可的决定（不予行政许可的应当书面告知理由，并告知申请人享有依法申请行政复议或者提起行政诉讼的权力）。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4.其它责任：法律法规规定应履行的其它责任。</w:t>
            </w:r>
          </w:p>
        </w:tc>
      </w:tr>
      <w:tr>
        <w:trPr>
          <w:trHeight w:val="1352" w:hRule="atLeast"/>
        </w:trPr>
        <w:tc>
          <w:tcPr>
            <w:tcW w:w="18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责任事项依据</w:t>
            </w:r>
          </w:p>
        </w:tc>
        <w:tc>
          <w:tcPr>
            <w:tcW w:w="7332" w:type="dxa"/>
            <w:tcBorders>
              <w:top w:val="single" w:color="auto" w:sz="4" w:space="0"/>
              <w:left w:val="single" w:color="auto" w:sz="4" w:space="0"/>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固定资产投资项目节能审查办法》第八条“节能审查机关受理节能报告后，应委托有关机构进行评审，形成评审意见，作为节能审查的重要依据。节能审查应依据项目是否符合节能有关法律法规、标准规范、政策;项目用能分析是否客观准确，方法是否科学，结论是否准确;节能措施是否合理可行;项目的能源消费量和能效水平是否满足本地区能源消耗总量和强度“双控”管理要求等对项目节能报告进行审查”。</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2.同1。</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3.同1。</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其它责任依据：《固定资产投资项目节能审查办法》第九条“节能审查机关应在法律规定的时限内出具节能审查意见。节能审查意见自印发之日起2年内有效。通过节能审查的固定资产投资项目，建设内容、能效水平等发生重大变动的，建设单位应向节能审查机关提出变更申请”。</w:t>
            </w:r>
          </w:p>
        </w:tc>
      </w:tr>
      <w:tr>
        <w:trPr>
          <w:trHeight w:val="685" w:hRule="atLeast"/>
        </w:trPr>
        <w:tc>
          <w:tcPr>
            <w:tcW w:w="180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追责情形</w:t>
            </w:r>
          </w:p>
        </w:tc>
        <w:tc>
          <w:tcPr>
            <w:tcW w:w="7332" w:type="dxa"/>
            <w:tcBorders>
              <w:top w:val="single" w:color="auto" w:sz="4" w:space="0"/>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固定资产投资项目节能审查办法》、《四川省固定资产投资项目节能审查实施办法》等法律法规规章的相关规定追究相应的责任。</w:t>
            </w:r>
          </w:p>
        </w:tc>
      </w:tr>
      <w:tr>
        <w:tblPrEx>
          <w:tblCellMar>
            <w:top w:w="0" w:type="dxa"/>
            <w:left w:w="108" w:type="dxa"/>
            <w:bottom w:w="0" w:type="dxa"/>
            <w:right w:w="108" w:type="dxa"/>
          </w:tblCellMar>
        </w:tblPrEx>
        <w:trPr>
          <w:trHeight w:val="167" w:hRule="atLeast"/>
        </w:trPr>
        <w:tc>
          <w:tcPr>
            <w:tcW w:w="180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监督电话</w:t>
            </w:r>
          </w:p>
        </w:tc>
        <w:tc>
          <w:tcPr>
            <w:tcW w:w="7332"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028-84384493</w:t>
            </w:r>
          </w:p>
        </w:tc>
      </w:tr>
    </w:tbl>
    <w:p>
      <w:pPr>
        <w:widowControl/>
        <w:spacing w:line="360" w:lineRule="exact"/>
        <w:ind w:firstLine="420" w:firstLineChars="200"/>
        <w:jc w:val="left"/>
        <w:rPr>
          <w:rFonts w:ascii="Times New Roman" w:hAnsi="Times New Roman"/>
        </w:rPr>
      </w:pPr>
      <w:r>
        <w:rPr>
          <w:rFonts w:ascii="Times New Roman" w:hAnsi="Times New Roman" w:eastAsiaTheme="minorEastAsia"/>
          <w:szCs w:val="21"/>
        </w:rPr>
        <w:br w:type="page"/>
      </w:r>
    </w:p>
    <w:p>
      <w:pPr>
        <w:pStyle w:val="3"/>
        <w:rPr>
          <w:rFonts w:ascii="Times New Roman" w:hAnsi="Times New Roman"/>
        </w:rPr>
      </w:pPr>
      <w:r>
        <w:rPr>
          <w:rFonts w:hint="eastAsia" w:ascii="Times New Roman" w:hAnsi="Times New Roman"/>
        </w:rPr>
        <w:t>表2-6</w:t>
      </w:r>
    </w:p>
    <w:tbl>
      <w:tblPr>
        <w:tblStyle w:val="11"/>
        <w:tblpPr w:leftFromText="180" w:rightFromText="180" w:vertAnchor="text" w:horzAnchor="page" w:tblpXSpec="center" w:tblpY="46"/>
        <w:tblW w:w="9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5"/>
        <w:gridCol w:w="7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825" w:type="dxa"/>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序    号</w:t>
            </w:r>
          </w:p>
        </w:tc>
        <w:tc>
          <w:tcPr>
            <w:tcW w:w="7430" w:type="dxa"/>
            <w:shd w:val="clear" w:color="auto" w:fill="auto"/>
            <w:noWrap/>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825" w:type="dxa"/>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权力类型</w:t>
            </w:r>
          </w:p>
        </w:tc>
        <w:tc>
          <w:tcPr>
            <w:tcW w:w="7430" w:type="dxa"/>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825" w:type="dxa"/>
            <w:shd w:val="clear" w:color="auto" w:fill="auto"/>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权力项目名称</w:t>
            </w:r>
          </w:p>
        </w:tc>
        <w:tc>
          <w:tcPr>
            <w:tcW w:w="7430" w:type="dxa"/>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在电力设施周围或电力设施保护区内进行可能危及电力设施安全作业的审批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0" w:hRule="atLeast"/>
        </w:trPr>
        <w:tc>
          <w:tcPr>
            <w:tcW w:w="1825" w:type="dxa"/>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实施依据</w:t>
            </w:r>
          </w:p>
        </w:tc>
        <w:tc>
          <w:tcPr>
            <w:tcW w:w="7430" w:type="dxa"/>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中华人民共和国电力法》第五十二条“任何单位和个人不得危害发电设施、变电设施和电力线路设施及其有关辅助设施。在电力设施周围进行爆破及其他可能危及电力设施安全的作业的，应当按照国务院有关电力设施保护的规定，经批准并采取确保电力设施安全的措施后，方可进行作业”、第五十四条“任何单位和个人需要在依法划定的电力设施保护区内进行可能危及电力设施安全的作业时，应当经电力管理部门批准并采取安全措施后，方可进行作业”。</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《电力设施保护条例》（国务院令第239号）第三章第十七条 任何单位或个人必须经县级以上地方电力管理部门批准，并采取安全措施后，方可进行下列作业或活动：（一）在架空电力线路保护区内进行农田水利基本建设工程及打桩、钻探、开挖等作业；（二）起重机械的任何部位进入架空电力线路保护区进行施工；（三）小于导线距穿越物体之间的安全距离，通过架空电力线路保护区；（四）在电力电缆线路保护区内进行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825" w:type="dxa"/>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责任主体</w:t>
            </w:r>
          </w:p>
        </w:tc>
        <w:tc>
          <w:tcPr>
            <w:tcW w:w="7430" w:type="dxa"/>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3" w:hRule="atLeast"/>
        </w:trPr>
        <w:tc>
          <w:tcPr>
            <w:tcW w:w="1825" w:type="dxa"/>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w:t>
            </w:r>
          </w:p>
        </w:tc>
        <w:tc>
          <w:tcPr>
            <w:tcW w:w="7430" w:type="dxa"/>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1.受理责任：公示应当提交的材料，对书面申请材料进行形式审查，一次性告知补正材料，依法受理或不予受理（不予受理应当告知理由，并告知申请人享有依法申请行政复议或者提起行政诉讼的权力）。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2.审查责任：对书面申请材料进行审查，并提出意见。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3.决定责任：在规定时间内作出行政许可或不予行政许可的决定（不予行政许可的应当书面告知理由，并告知申请人享有依法申请行政复议或者提起行政诉讼的权力）。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1825" w:type="dxa"/>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责任事项依据</w:t>
            </w:r>
          </w:p>
        </w:tc>
        <w:tc>
          <w:tcPr>
            <w:tcW w:w="7430" w:type="dxa"/>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 xml:space="preserve">    1.《四川省经济委员会关于加强电力设施保护区施工作业管理工作的通知》第五条“施工单位或个人提交的申请材料齐全、符合法定形式的，相关经委应在5个工作日内予以登记受理；申请材料不齐全或不符合法定形式的，应在5个工作日内一次性提出补正要求；申请事项不属于审批范围的，相关经委应及时告知申请单位或申请人不予受理”。</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2.《四川省经济委员会关于加强电力设施保护区施工作业管理工作的通知》第五条“相关经委正式受理申请后，应在20个工作日内完成对相关材料的审查，并视情况赴现场进行勘查”。</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四川省经济委员会关于加强电力设施保护区施工作业管理工作的通知》第五条“相关经委在做出审批决定前，应征求电力设施产权人或运行维护电力企业的意见。为使电力设施得到有效保护，电力设施产权人应提供电力设施布置图等相关资料”。</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trPr>
        <w:tc>
          <w:tcPr>
            <w:tcW w:w="1825" w:type="dxa"/>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追责情形</w:t>
            </w:r>
          </w:p>
        </w:tc>
        <w:tc>
          <w:tcPr>
            <w:tcW w:w="7430" w:type="dxa"/>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中华人民共和国电力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825" w:type="dxa"/>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监督电话</w:t>
            </w:r>
          </w:p>
        </w:tc>
        <w:tc>
          <w:tcPr>
            <w:tcW w:w="7430" w:type="dxa"/>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028-84384493</w:t>
            </w:r>
          </w:p>
        </w:tc>
      </w:tr>
    </w:tbl>
    <w:p>
      <w:pPr>
        <w:rPr>
          <w:rFonts w:ascii="Times New Roman" w:hAnsi="Times New Roman"/>
        </w:rPr>
      </w:pPr>
    </w:p>
    <w:p>
      <w:pPr>
        <w:rPr>
          <w:rFonts w:ascii="Times New Roman" w:hAnsi="Times New Roman"/>
        </w:rPr>
      </w:pPr>
      <w:r>
        <w:rPr>
          <w:rFonts w:ascii="Times New Roman" w:hAnsi="Times New Roman"/>
        </w:rPr>
        <w:br w:type="page"/>
      </w:r>
    </w:p>
    <w:p>
      <w:pPr>
        <w:pStyle w:val="3"/>
        <w:rPr>
          <w:rFonts w:ascii="Times New Roman" w:hAnsi="Times New Roman"/>
        </w:rPr>
      </w:pPr>
      <w:r>
        <w:rPr>
          <w:rFonts w:hint="eastAsia" w:ascii="Times New Roman" w:hAnsi="Times New Roman"/>
        </w:rPr>
        <w:t>表2-7</w:t>
      </w:r>
    </w:p>
    <w:tbl>
      <w:tblPr>
        <w:tblStyle w:val="11"/>
        <w:tblW w:w="9204" w:type="dxa"/>
        <w:jc w:val="center"/>
        <w:tblLayout w:type="autofit"/>
        <w:tblCellMar>
          <w:top w:w="0" w:type="dxa"/>
          <w:left w:w="108" w:type="dxa"/>
          <w:bottom w:w="0" w:type="dxa"/>
          <w:right w:w="108" w:type="dxa"/>
        </w:tblCellMar>
      </w:tblPr>
      <w:tblGrid>
        <w:gridCol w:w="1833"/>
        <w:gridCol w:w="7371"/>
      </w:tblGrid>
      <w:tr>
        <w:tblPrEx>
          <w:tblCellMar>
            <w:top w:w="0" w:type="dxa"/>
            <w:left w:w="108" w:type="dxa"/>
            <w:bottom w:w="0" w:type="dxa"/>
            <w:right w:w="108" w:type="dxa"/>
          </w:tblCellMar>
        </w:tblPrEx>
        <w:trPr>
          <w:trHeight w:val="94" w:hRule="atLeast"/>
          <w:jc w:val="center"/>
        </w:trPr>
        <w:tc>
          <w:tcPr>
            <w:tcW w:w="18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序    号</w:t>
            </w:r>
          </w:p>
        </w:tc>
        <w:tc>
          <w:tcPr>
            <w:tcW w:w="7371" w:type="dxa"/>
            <w:tcBorders>
              <w:top w:val="single" w:color="auto" w:sz="4" w:space="0"/>
              <w:left w:val="nil"/>
              <w:bottom w:val="single" w:color="auto" w:sz="4" w:space="0"/>
              <w:right w:val="single" w:color="auto" w:sz="4" w:space="0"/>
            </w:tcBorders>
            <w:shd w:val="clear" w:color="auto" w:fill="auto"/>
            <w:noWrap/>
          </w:tcPr>
          <w:p>
            <w:pPr>
              <w:keepLines/>
              <w:widowControl/>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7</w:t>
            </w:r>
          </w:p>
        </w:tc>
      </w:tr>
      <w:tr>
        <w:tblPrEx>
          <w:tblCellMar>
            <w:top w:w="0" w:type="dxa"/>
            <w:left w:w="108" w:type="dxa"/>
            <w:bottom w:w="0" w:type="dxa"/>
            <w:right w:w="108" w:type="dxa"/>
          </w:tblCellMar>
        </w:tblPrEx>
        <w:trPr>
          <w:trHeight w:val="94" w:hRule="atLeast"/>
          <w:jc w:val="center"/>
        </w:trPr>
        <w:tc>
          <w:tcPr>
            <w:tcW w:w="1833" w:type="dxa"/>
            <w:tcBorders>
              <w:top w:val="nil"/>
              <w:left w:val="single" w:color="auto" w:sz="4" w:space="0"/>
              <w:bottom w:val="single" w:color="auto" w:sz="4" w:space="0"/>
              <w:right w:val="single" w:color="auto" w:sz="4" w:space="0"/>
            </w:tcBorders>
            <w:shd w:val="clear" w:color="auto" w:fill="auto"/>
            <w:noWrap/>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权力类型</w:t>
            </w:r>
          </w:p>
        </w:tc>
        <w:tc>
          <w:tcPr>
            <w:tcW w:w="7371" w:type="dxa"/>
            <w:tcBorders>
              <w:top w:val="nil"/>
              <w:left w:val="nil"/>
              <w:bottom w:val="single" w:color="auto" w:sz="4" w:space="0"/>
              <w:right w:val="single" w:color="auto" w:sz="4" w:space="0"/>
            </w:tcBorders>
            <w:shd w:val="clear" w:color="auto" w:fill="auto"/>
            <w:noWrap/>
            <w:vAlign w:val="center"/>
          </w:tcPr>
          <w:p>
            <w:pPr>
              <w:keepLines/>
              <w:widowControl/>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行政许可</w:t>
            </w:r>
          </w:p>
        </w:tc>
      </w:tr>
      <w:tr>
        <w:tblPrEx>
          <w:tblCellMar>
            <w:top w:w="0" w:type="dxa"/>
            <w:left w:w="108" w:type="dxa"/>
            <w:bottom w:w="0" w:type="dxa"/>
            <w:right w:w="108" w:type="dxa"/>
          </w:tblCellMar>
        </w:tblPrEx>
        <w:trPr>
          <w:trHeight w:val="137" w:hRule="atLeast"/>
          <w:jc w:val="center"/>
        </w:trPr>
        <w:tc>
          <w:tcPr>
            <w:tcW w:w="1833" w:type="dxa"/>
            <w:tcBorders>
              <w:top w:val="nil"/>
              <w:left w:val="single" w:color="auto" w:sz="4" w:space="0"/>
              <w:bottom w:val="single" w:color="auto" w:sz="4" w:space="0"/>
              <w:right w:val="single" w:color="auto" w:sz="4" w:space="0"/>
            </w:tcBorders>
            <w:shd w:val="clear" w:color="auto" w:fill="auto"/>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权力项目名称</w:t>
            </w:r>
          </w:p>
        </w:tc>
        <w:tc>
          <w:tcPr>
            <w:tcW w:w="7371" w:type="dxa"/>
            <w:tcBorders>
              <w:top w:val="nil"/>
              <w:left w:val="nil"/>
              <w:bottom w:val="single" w:color="auto" w:sz="4" w:space="0"/>
              <w:right w:val="single" w:color="auto" w:sz="4" w:space="0"/>
            </w:tcBorders>
            <w:shd w:val="clear" w:color="auto" w:fill="auto"/>
            <w:noWrap/>
            <w:vAlign w:val="center"/>
          </w:tcPr>
          <w:p>
            <w:pPr>
              <w:keepLines/>
              <w:widowControl/>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中介机构从事代理记账业务审批</w:t>
            </w:r>
          </w:p>
        </w:tc>
      </w:tr>
      <w:tr>
        <w:tblPrEx>
          <w:tblCellMar>
            <w:top w:w="0" w:type="dxa"/>
            <w:left w:w="108" w:type="dxa"/>
            <w:bottom w:w="0" w:type="dxa"/>
            <w:right w:w="108" w:type="dxa"/>
          </w:tblCellMar>
        </w:tblPrEx>
        <w:trPr>
          <w:trHeight w:val="5810" w:hRule="atLeast"/>
          <w:jc w:val="center"/>
        </w:trPr>
        <w:tc>
          <w:tcPr>
            <w:tcW w:w="1833" w:type="dxa"/>
            <w:tcBorders>
              <w:top w:val="nil"/>
              <w:left w:val="single" w:color="auto" w:sz="4" w:space="0"/>
              <w:bottom w:val="single" w:color="auto" w:sz="4" w:space="0"/>
              <w:right w:val="single" w:color="auto" w:sz="4" w:space="0"/>
            </w:tcBorders>
            <w:shd w:val="clear" w:color="auto" w:fill="auto"/>
            <w:noWrap/>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实施依据</w:t>
            </w:r>
          </w:p>
        </w:tc>
        <w:tc>
          <w:tcPr>
            <w:tcW w:w="7371" w:type="dxa"/>
            <w:tcBorders>
              <w:top w:val="nil"/>
              <w:left w:val="nil"/>
              <w:bottom w:val="single" w:color="auto" w:sz="4" w:space="0"/>
              <w:right w:val="single" w:color="auto" w:sz="4" w:space="0"/>
            </w:tcBorders>
            <w:shd w:val="clear" w:color="auto" w:fill="auto"/>
          </w:tcPr>
          <w:p>
            <w:pPr>
              <w:keepLines/>
              <w:widowControl/>
              <w:suppressLineNumbers/>
              <w:suppressAutoHyphens/>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 xml:space="preserve">《中华人民共和国会计法》第三十八条“会计人员应当具备从事会计工作所需要的专业能力。担任单位会计机构负责人(会计主管人员)的，应当具备会计师以上专业技术职务资格或者从事会计工作三年以上经历”。                    </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《代理记账管理办法》第三条“ 除会计师事务所以外的机构从事代理记账业务应当经县级以上地方人民政府财政部门批准，领取由财政部统一规定样式的代理记账许可证书。会计师事务所及其分所可以依法从事代理记账业务”、第四条“符合下列条件的机构可以申请代理记账资格:(一)为依法设立的企业;(二)持有会计从业资格证书的专职从业人员不少于3名;(三)主管代理记账业务的负责人具有会计师以上专业技术职务资格且为专职从业人员;(四)有健全的代理记账业务内部规范”、第五条“申请代理记账资格的机构，应当向所在地的审批机关提交申请报告并附送下列材料:(一)营业执照复印件;</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(二)从业人员会计从业资格证书，主管代理记账业务的负责人具备会计师以上专业技术职务资格的证明;(三)专职从业人员在本机构专职从业的书面承诺;(四)代理记账业务内部规范”。                                    </w:t>
            </w:r>
          </w:p>
        </w:tc>
      </w:tr>
      <w:tr>
        <w:tblPrEx>
          <w:tblCellMar>
            <w:top w:w="0" w:type="dxa"/>
            <w:left w:w="108" w:type="dxa"/>
            <w:bottom w:w="0" w:type="dxa"/>
            <w:right w:w="108" w:type="dxa"/>
          </w:tblCellMar>
        </w:tblPrEx>
        <w:trPr>
          <w:trHeight w:val="421" w:hRule="atLeast"/>
          <w:jc w:val="center"/>
        </w:trPr>
        <w:tc>
          <w:tcPr>
            <w:tcW w:w="1833" w:type="dxa"/>
            <w:tcBorders>
              <w:top w:val="nil"/>
              <w:left w:val="single" w:color="auto" w:sz="4" w:space="0"/>
              <w:bottom w:val="single" w:color="auto" w:sz="4" w:space="0"/>
              <w:right w:val="single" w:color="auto" w:sz="4" w:space="0"/>
            </w:tcBorders>
            <w:shd w:val="clear" w:color="auto" w:fill="auto"/>
            <w:noWrap/>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责任主体</w:t>
            </w:r>
          </w:p>
        </w:tc>
        <w:tc>
          <w:tcPr>
            <w:tcW w:w="7371" w:type="dxa"/>
            <w:tcBorders>
              <w:top w:val="nil"/>
              <w:left w:val="nil"/>
              <w:bottom w:val="single" w:color="auto" w:sz="4" w:space="0"/>
              <w:right w:val="single" w:color="auto" w:sz="4" w:space="0"/>
            </w:tcBorders>
            <w:shd w:val="clear" w:color="auto" w:fill="auto"/>
            <w:noWrap/>
            <w:vAlign w:val="center"/>
          </w:tcPr>
          <w:p>
            <w:pPr>
              <w:keepLines/>
              <w:widowControl/>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成都市成华区行政审批局</w:t>
            </w:r>
          </w:p>
        </w:tc>
      </w:tr>
      <w:tr>
        <w:tblPrEx>
          <w:tblCellMar>
            <w:top w:w="0" w:type="dxa"/>
            <w:left w:w="108" w:type="dxa"/>
            <w:bottom w:w="0" w:type="dxa"/>
            <w:right w:w="108" w:type="dxa"/>
          </w:tblCellMar>
        </w:tblPrEx>
        <w:trPr>
          <w:trHeight w:val="519" w:hRule="atLeast"/>
          <w:jc w:val="center"/>
        </w:trPr>
        <w:tc>
          <w:tcPr>
            <w:tcW w:w="1833" w:type="dxa"/>
            <w:tcBorders>
              <w:top w:val="nil"/>
              <w:left w:val="single" w:color="auto" w:sz="4" w:space="0"/>
              <w:bottom w:val="single" w:color="auto" w:sz="4" w:space="0"/>
              <w:right w:val="single" w:color="auto" w:sz="4" w:space="0"/>
            </w:tcBorders>
            <w:shd w:val="clear" w:color="auto" w:fill="auto"/>
            <w:noWrap/>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w:t>
            </w:r>
          </w:p>
        </w:tc>
        <w:tc>
          <w:tcPr>
            <w:tcW w:w="7371" w:type="dxa"/>
            <w:tcBorders>
              <w:top w:val="nil"/>
              <w:left w:val="nil"/>
              <w:bottom w:val="single" w:color="auto" w:sz="4" w:space="0"/>
              <w:right w:val="single" w:color="auto" w:sz="4" w:space="0"/>
            </w:tcBorders>
            <w:shd w:val="clear" w:color="auto" w:fill="auto"/>
          </w:tcPr>
          <w:p>
            <w:pPr>
              <w:keepLines/>
              <w:widowControl/>
              <w:suppressLineNumbers/>
              <w:suppressAutoHyphens/>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1.受理责任：公示应当提交的材料，对书面申请材料进行形式审查，一次性告知补正材料，依法受理或不予受理（不予受理应当告知理由，并告知申请人享有依法申请行政复议或者提起行政诉讼的权力）。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2.审查责任：对书面申请材料进行审查，并提出意见。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3.决定责任：在规定时间内作出行政许可或不予行政许可的决定（不予行政许可的应当书面告知理由，并告知申请人享有依法申请行政复议或者提起行政诉讼的权力）。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4.其它责任：法律法规规定应履行的其它责任。</w:t>
            </w:r>
          </w:p>
        </w:tc>
      </w:tr>
      <w:tr>
        <w:tblPrEx>
          <w:tblCellMar>
            <w:top w:w="0" w:type="dxa"/>
            <w:left w:w="108" w:type="dxa"/>
            <w:bottom w:w="0" w:type="dxa"/>
            <w:right w:w="108" w:type="dxa"/>
          </w:tblCellMar>
        </w:tblPrEx>
        <w:trPr>
          <w:trHeight w:val="8070" w:hRule="atLeast"/>
          <w:jc w:val="center"/>
        </w:trPr>
        <w:tc>
          <w:tcPr>
            <w:tcW w:w="18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责任事项依据</w:t>
            </w:r>
          </w:p>
        </w:tc>
        <w:tc>
          <w:tcPr>
            <w:tcW w:w="7371" w:type="dxa"/>
            <w:tcBorders>
              <w:top w:val="single" w:color="auto" w:sz="4" w:space="0"/>
              <w:left w:val="single" w:color="auto" w:sz="4" w:space="0"/>
              <w:bottom w:val="single" w:color="auto" w:sz="4" w:space="0"/>
              <w:right w:val="single" w:color="auto" w:sz="4" w:space="0"/>
            </w:tcBorders>
            <w:shd w:val="clear" w:color="auto" w:fill="auto"/>
          </w:tcPr>
          <w:p>
            <w:pPr>
              <w:keepLines/>
              <w:widowControl/>
              <w:suppressLineNumbers/>
              <w:suppressAutoHyphens/>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代理记账管理办法》第六条“审批机关审批代理记账资格应当按照下列程序办理：（一）申请人提交的申请材料不齐全或不符合规定形式的，应当在5日内一次告知申请人需要补正的全部内容，逾期不告知的，自收到申请材料之日起即视为受理；申请人提交的申请材料齐全、符合规定形式的，或者申请人按照要求提交全部补正申请材料的，应当受理申请。（二）受理申请后应当按照规定对申请材料进行审核，并自受理申请之日起10日内作出批准或者不予批准的决定。10日内不能作出决定的，经本审批机关负责人批准可延长10日，并应当将延长期限的理由告知申请人。（三）作出批准决定的，应当自作出决定之日起10日内向申请人发放代 理记账许可证书，并向社会公示。审批机关进行全覆盖例行检查，发现实际情况与承诺内容不符的，依法撤销审批并给予处罚。（四）作出不予批准决定的，应当自作出决定之日起10日内书面通知申请人。书面通知应当说明不予批准的理由，并告知申请人享有依法申请行政复议或者提起行政诉讼的权利”。</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代理记账管理办法》第八条“代理记账机构名称、主管代理记账业务的负责人发生变更，设立或撤销分支机构，跨原审批机关管辖地迁移办公地点的，应当自作出变更决定或变更之日起30日内依法向审批机关办理变更登记，并应当自变更登记完成之日起20日内通过企业信用信息公示系统向社会公示。代理记账机构变更名称的，应当向审批机关领取新的代理记账许可证书，并同时交回原代理记账许可证书。代理记账机构跨原审批机关管辖地迁移办公地点的，迁出地审批机关应当及时将代理记账机构的相关信息及材料移交迁入地审批机关”。第九条“代理记账机构设立分支机构的，分支机构应当及时向其所在地的审批机关办理备案登记。分支机构名称、主管代理记账业务的负责人发生变更的，分支机构应当按照要求向其所在地的审批机关办理变更登记。代理记账机构应当在人事、财务、业务、技术标准、信息管理等方面对其设立的分支机构进行实质性的统一管理，并对分支机构的业务活动、执业质量和债务承担法律责任”。</w:t>
            </w:r>
          </w:p>
        </w:tc>
      </w:tr>
      <w:tr>
        <w:tblPrEx>
          <w:tblCellMar>
            <w:top w:w="0" w:type="dxa"/>
            <w:left w:w="108" w:type="dxa"/>
            <w:bottom w:w="0" w:type="dxa"/>
            <w:right w:w="108" w:type="dxa"/>
          </w:tblCellMar>
        </w:tblPrEx>
        <w:trPr>
          <w:trHeight w:val="359" w:hRule="atLeast"/>
          <w:jc w:val="center"/>
        </w:trPr>
        <w:tc>
          <w:tcPr>
            <w:tcW w:w="183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追责情形</w:t>
            </w:r>
          </w:p>
        </w:tc>
        <w:tc>
          <w:tcPr>
            <w:tcW w:w="7371" w:type="dxa"/>
            <w:tcBorders>
              <w:top w:val="single" w:color="auto" w:sz="4" w:space="0"/>
              <w:left w:val="nil"/>
              <w:bottom w:val="single" w:color="auto" w:sz="4" w:space="0"/>
              <w:right w:val="single" w:color="auto" w:sz="4" w:space="0"/>
            </w:tcBorders>
            <w:shd w:val="clear" w:color="auto" w:fill="auto"/>
          </w:tcPr>
          <w:p>
            <w:pPr>
              <w:keepLines/>
              <w:widowControl/>
              <w:suppressLineNumbers/>
              <w:suppressAutoHyphens/>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代理记账管理办法》等法律法规规章的相关规定追究相应的责任。</w:t>
            </w:r>
          </w:p>
        </w:tc>
      </w:tr>
      <w:tr>
        <w:tblPrEx>
          <w:tblCellMar>
            <w:top w:w="0" w:type="dxa"/>
            <w:left w:w="108" w:type="dxa"/>
            <w:bottom w:w="0" w:type="dxa"/>
            <w:right w:w="108" w:type="dxa"/>
          </w:tblCellMar>
        </w:tblPrEx>
        <w:trPr>
          <w:trHeight w:val="94" w:hRule="atLeast"/>
          <w:jc w:val="center"/>
        </w:trPr>
        <w:tc>
          <w:tcPr>
            <w:tcW w:w="1833" w:type="dxa"/>
            <w:tcBorders>
              <w:top w:val="nil"/>
              <w:left w:val="single" w:color="auto" w:sz="4" w:space="0"/>
              <w:bottom w:val="single" w:color="auto" w:sz="4" w:space="0"/>
              <w:right w:val="single" w:color="auto" w:sz="4" w:space="0"/>
            </w:tcBorders>
            <w:shd w:val="clear" w:color="auto" w:fill="auto"/>
            <w:noWrap/>
            <w:vAlign w:val="center"/>
          </w:tcPr>
          <w:p>
            <w:pPr>
              <w:keepLines/>
              <w:widowControl/>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监督电话</w:t>
            </w:r>
          </w:p>
        </w:tc>
        <w:tc>
          <w:tcPr>
            <w:tcW w:w="7371" w:type="dxa"/>
            <w:tcBorders>
              <w:top w:val="nil"/>
              <w:left w:val="nil"/>
              <w:bottom w:val="single" w:color="auto" w:sz="4" w:space="0"/>
              <w:right w:val="single" w:color="auto" w:sz="4" w:space="0"/>
            </w:tcBorders>
            <w:shd w:val="clear" w:color="auto" w:fill="auto"/>
            <w:noWrap/>
            <w:vAlign w:val="center"/>
          </w:tcPr>
          <w:p>
            <w:pPr>
              <w:keepLines/>
              <w:widowControl/>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028-84384493</w:t>
            </w:r>
          </w:p>
        </w:tc>
      </w:tr>
    </w:tbl>
    <w:p>
      <w:pPr>
        <w:widowControl/>
        <w:spacing w:line="360" w:lineRule="exact"/>
        <w:jc w:val="left"/>
        <w:rPr>
          <w:rFonts w:ascii="Times New Roman" w:hAnsi="Times New Roman" w:eastAsia="方正黑体简体"/>
          <w:sz w:val="32"/>
          <w:szCs w:val="32"/>
        </w:rPr>
      </w:pPr>
    </w:p>
    <w:p>
      <w:pPr>
        <w:rPr>
          <w:rFonts w:ascii="Times New Roman" w:hAnsi="Times New Roman"/>
        </w:rPr>
      </w:pPr>
      <w:r>
        <w:rPr>
          <w:rFonts w:ascii="Times New Roman" w:hAnsi="Times New Roman"/>
        </w:rPr>
        <w:br w:type="page"/>
      </w:r>
    </w:p>
    <w:p>
      <w:pPr>
        <w:pStyle w:val="3"/>
        <w:spacing w:before="0" w:after="0"/>
        <w:rPr>
          <w:rFonts w:ascii="Times New Roman" w:hAnsi="Times New Roman"/>
        </w:rPr>
      </w:pPr>
      <w:r>
        <w:rPr>
          <w:rFonts w:hint="eastAsia" w:ascii="Times New Roman" w:hAnsi="Times New Roman"/>
        </w:rPr>
        <w:t>表2-8</w:t>
      </w:r>
    </w:p>
    <w:tbl>
      <w:tblPr>
        <w:tblStyle w:val="11"/>
        <w:tblpPr w:leftFromText="180" w:rightFromText="180" w:vertAnchor="text" w:horzAnchor="margin" w:tblpXSpec="center" w:tblpY="1027"/>
        <w:tblW w:w="8905" w:type="dxa"/>
        <w:tblInd w:w="0" w:type="dxa"/>
        <w:tblLayout w:type="autofit"/>
        <w:tblCellMar>
          <w:top w:w="0" w:type="dxa"/>
          <w:left w:w="108" w:type="dxa"/>
          <w:bottom w:w="0" w:type="dxa"/>
          <w:right w:w="108" w:type="dxa"/>
        </w:tblCellMar>
      </w:tblPr>
      <w:tblGrid>
        <w:gridCol w:w="1898"/>
        <w:gridCol w:w="7007"/>
      </w:tblGrid>
      <w:tr>
        <w:tblPrEx>
          <w:tblCellMar>
            <w:top w:w="0" w:type="dxa"/>
            <w:left w:w="108" w:type="dxa"/>
            <w:bottom w:w="0" w:type="dxa"/>
            <w:right w:w="108" w:type="dxa"/>
          </w:tblCellMar>
        </w:tblPrEx>
        <w:trPr>
          <w:trHeight w:val="256" w:hRule="atLeast"/>
        </w:trPr>
        <w:tc>
          <w:tcPr>
            <w:tcW w:w="18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序    号</w:t>
            </w:r>
          </w:p>
        </w:tc>
        <w:tc>
          <w:tcPr>
            <w:tcW w:w="7007" w:type="dxa"/>
            <w:tcBorders>
              <w:top w:val="single" w:color="auto" w:sz="4" w:space="0"/>
              <w:left w:val="nil"/>
              <w:bottom w:val="single" w:color="auto" w:sz="4" w:space="0"/>
              <w:right w:val="single" w:color="auto" w:sz="4" w:space="0"/>
            </w:tcBorders>
            <w:shd w:val="clear" w:color="auto" w:fill="auto"/>
            <w:noWrap/>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8</w:t>
            </w:r>
          </w:p>
        </w:tc>
      </w:tr>
      <w:tr>
        <w:trPr>
          <w:trHeight w:val="256" w:hRule="atLeast"/>
        </w:trPr>
        <w:tc>
          <w:tcPr>
            <w:tcW w:w="189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权力类型</w:t>
            </w:r>
          </w:p>
        </w:tc>
        <w:tc>
          <w:tcPr>
            <w:tcW w:w="7007"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行政许可</w:t>
            </w:r>
          </w:p>
        </w:tc>
      </w:tr>
      <w:tr>
        <w:tblPrEx>
          <w:tblCellMar>
            <w:top w:w="0" w:type="dxa"/>
            <w:left w:w="108" w:type="dxa"/>
            <w:bottom w:w="0" w:type="dxa"/>
            <w:right w:w="108" w:type="dxa"/>
          </w:tblCellMar>
        </w:tblPrEx>
        <w:trPr>
          <w:trHeight w:val="371" w:hRule="atLeast"/>
        </w:trPr>
        <w:tc>
          <w:tcPr>
            <w:tcW w:w="1898"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权力项目名称</w:t>
            </w:r>
          </w:p>
        </w:tc>
        <w:tc>
          <w:tcPr>
            <w:tcW w:w="7007"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燃气经营许可证核发</w:t>
            </w:r>
          </w:p>
        </w:tc>
      </w:tr>
      <w:tr>
        <w:trPr>
          <w:trHeight w:val="3241" w:hRule="atLeast"/>
        </w:trPr>
        <w:tc>
          <w:tcPr>
            <w:tcW w:w="189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实施依据</w:t>
            </w:r>
          </w:p>
        </w:tc>
        <w:tc>
          <w:tcPr>
            <w:tcW w:w="7007"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《城镇燃气管理条例》（国务院令第583号）第十五条国家对燃气经营实行许可证制度。从事燃气经营活动的企业，应当具备下列条件:</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(一)符合燃气发展规划要求;</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(二)有符合国家标准的燃气气源和燃气设施;</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(三)企业的主要负责人、安全生产管理人员以及运行、维护和抢修人员经专业培训并考核合格;</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(四)法律、法规规定的其他条件。</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符合前款规定条件的，由县级以上地方人民政府燃气管理部门核发燃气经营许可证。。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《四川省燃气管理条例》第十七条从事液化石油气经营的企业，向县（市、区）燃气管理部门申请燃气经营许可证。 从事管道燃气、压缩天然气、液化天然气等经营的企业，向市（州）燃气管理部门申请燃气经营许可证。 跨市（州）行政区域从事燃气经营的，向省住房和城乡建设行政主管部门申请燃气经营许可证。                             </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《燃气经营许可管理办法》（建城[2014]167号）全文。</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w:t>
            </w:r>
            <w:r>
              <w:rPr>
                <w:rFonts w:hint="eastAsia" w:ascii="Times New Roman" w:hAnsi="Times New Roman" w:cs="宋体" w:eastAsiaTheme="minorEastAsia"/>
                <w:kern w:val="0"/>
                <w:szCs w:val="21"/>
                <w:lang w:eastAsia="zh-CN"/>
              </w:rPr>
              <w:t>《成都市燃气管理条例》</w:t>
            </w:r>
            <w:r>
              <w:rPr>
                <w:rFonts w:hint="eastAsia" w:ascii="Times New Roman" w:hAnsi="Times New Roman" w:cs="宋体" w:eastAsiaTheme="minorEastAsia"/>
                <w:kern w:val="0"/>
                <w:szCs w:val="21"/>
              </w:rPr>
              <w:t>第十六条“燃气经营依法实行许可证制度。从事管道燃气、压缩天然气、液化天然气等经营的，向市人民政府燃气管理部门申请燃气经营许可证。从事液化石油气经营的，向区(市)县人民政府燃气管理部门申请燃气经营许可证”。</w:t>
            </w:r>
          </w:p>
        </w:tc>
      </w:tr>
      <w:tr>
        <w:tblPrEx>
          <w:tblCellMar>
            <w:top w:w="0" w:type="dxa"/>
            <w:left w:w="108" w:type="dxa"/>
            <w:bottom w:w="0" w:type="dxa"/>
            <w:right w:w="108" w:type="dxa"/>
          </w:tblCellMar>
        </w:tblPrEx>
        <w:trPr>
          <w:trHeight w:val="256" w:hRule="atLeast"/>
        </w:trPr>
        <w:tc>
          <w:tcPr>
            <w:tcW w:w="189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责任主体</w:t>
            </w:r>
          </w:p>
        </w:tc>
        <w:tc>
          <w:tcPr>
            <w:tcW w:w="7007"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成都市成华区行政审批局</w:t>
            </w:r>
          </w:p>
        </w:tc>
      </w:tr>
      <w:tr>
        <w:trPr>
          <w:trHeight w:val="2084" w:hRule="atLeast"/>
        </w:trPr>
        <w:tc>
          <w:tcPr>
            <w:tcW w:w="189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w:t>
            </w:r>
          </w:p>
        </w:tc>
        <w:tc>
          <w:tcPr>
            <w:tcW w:w="7007"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1.受理责任：公示应当提交的材料，对书面申请材料进行形式审查，一次性告知补正材料，依法受理或不予受理（不予受理应当告知理由，并告知申请人享有依法申请行政复议或者提起行政诉讼的权力）。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2.审查责任：对书面申请材料进行审查，并提出意见。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3.决定责任：在规定时间内作出行政许可或不予行政许可的决定（不予行政许可的应当书面告知理由，并告知申请人享有依法申请行政复议或者提起行政诉讼的权力）。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4.其它责任：法律法规规定应履行的其它责任。</w:t>
            </w:r>
          </w:p>
        </w:tc>
      </w:tr>
      <w:tr>
        <w:tblPrEx>
          <w:tblCellMar>
            <w:top w:w="0" w:type="dxa"/>
            <w:left w:w="108" w:type="dxa"/>
            <w:bottom w:w="0" w:type="dxa"/>
            <w:right w:w="108" w:type="dxa"/>
          </w:tblCellMar>
        </w:tblPrEx>
        <w:trPr>
          <w:trHeight w:val="2685" w:hRule="atLeast"/>
        </w:trPr>
        <w:tc>
          <w:tcPr>
            <w:tcW w:w="18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责任事项依据</w:t>
            </w:r>
          </w:p>
        </w:tc>
        <w:tc>
          <w:tcPr>
            <w:tcW w:w="7007" w:type="dxa"/>
            <w:tcBorders>
              <w:top w:val="single" w:color="auto" w:sz="4" w:space="0"/>
              <w:left w:val="single" w:color="auto" w:sz="4" w:space="0"/>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燃气经营许可管理办法》第八条“发证部门应当自受理申请之日起二十个工作日内作出是否准予许可的决定。二十日内不能作出许可决定的，经发证部门负责人批准，可以延长十个工作日，并应当将延长期限的理由告知申请人。发证部门作出准予许可决定的，应向申请人出具《准予许可通知书》，告知申请人领取燃气经营许可证。发证部门作出不予许可决定的，应当出具《不予许可决定书》，说明不予许可的理由，并告知申请人依法享有申请行政复议或者提起行政诉讼的权利”。第九条　发证部门作出的准予许可决定的，应当予以公开，公众有权查询。公开的内容包括：准予许可的燃气经营企业名称、燃气经营许可证编号、企业注册登记地址、企业法定代表人、经营类别、经营区域、发证部门名称、发证日期和许可证有效期限等。</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4.《燃气经营许可管理办法》第十一条　已取得燃气经营许可证的燃气经营企业需要变更企业名称、登记注册地址、法定代表人的，应向原发证部门申请变更燃气经营许可，其中变更法定代表人的，新法定代表人应具有燃气从业人员专业培训考核合格证书。未经许可，不得擅自改变许可事项。</w:t>
            </w:r>
          </w:p>
        </w:tc>
      </w:tr>
      <w:tr>
        <w:trPr>
          <w:trHeight w:val="971" w:hRule="atLeast"/>
        </w:trPr>
        <w:tc>
          <w:tcPr>
            <w:tcW w:w="18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追责情形</w:t>
            </w:r>
          </w:p>
        </w:tc>
        <w:tc>
          <w:tcPr>
            <w:tcW w:w="7007" w:type="dxa"/>
            <w:tcBorders>
              <w:top w:val="single" w:color="auto" w:sz="4" w:space="0"/>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燃气经营许可管理办法》等法律法规规章的相关规定追究相应的责任。</w:t>
            </w:r>
          </w:p>
        </w:tc>
      </w:tr>
      <w:tr>
        <w:tblPrEx>
          <w:tblCellMar>
            <w:top w:w="0" w:type="dxa"/>
            <w:left w:w="108" w:type="dxa"/>
            <w:bottom w:w="0" w:type="dxa"/>
            <w:right w:w="108" w:type="dxa"/>
          </w:tblCellMar>
        </w:tblPrEx>
        <w:trPr>
          <w:trHeight w:val="256" w:hRule="atLeast"/>
        </w:trPr>
        <w:tc>
          <w:tcPr>
            <w:tcW w:w="1898"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监督电话</w:t>
            </w:r>
          </w:p>
        </w:tc>
        <w:tc>
          <w:tcPr>
            <w:tcW w:w="7007"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028-84384493</w:t>
            </w:r>
          </w:p>
        </w:tc>
      </w:tr>
    </w:tbl>
    <w:p>
      <w:pPr>
        <w:widowControl/>
        <w:spacing w:line="360" w:lineRule="exact"/>
        <w:ind w:firstLine="420" w:firstLineChars="200"/>
        <w:jc w:val="left"/>
        <w:rPr>
          <w:rFonts w:ascii="Times New Roman" w:hAnsi="Times New Roman" w:eastAsiaTheme="minorEastAsia"/>
          <w:szCs w:val="21"/>
        </w:rPr>
      </w:pPr>
    </w:p>
    <w:p>
      <w:pPr>
        <w:widowControl/>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br w:type="page"/>
      </w:r>
    </w:p>
    <w:p>
      <w:pPr>
        <w:pStyle w:val="3"/>
        <w:rPr>
          <w:rFonts w:ascii="Times New Roman" w:hAnsi="Times New Roman"/>
        </w:rPr>
      </w:pPr>
      <w:r>
        <w:rPr>
          <w:rFonts w:hint="eastAsia" w:ascii="Times New Roman" w:hAnsi="Times New Roman"/>
        </w:rPr>
        <w:t>表2-9</w:t>
      </w:r>
    </w:p>
    <w:tbl>
      <w:tblPr>
        <w:tblStyle w:val="11"/>
        <w:tblpPr w:leftFromText="180" w:rightFromText="180" w:vertAnchor="page" w:horzAnchor="margin" w:tblpXSpec="center" w:tblpY="2581"/>
        <w:tblW w:w="9029" w:type="dxa"/>
        <w:tblInd w:w="0" w:type="dxa"/>
        <w:tblLayout w:type="autofit"/>
        <w:tblCellMar>
          <w:top w:w="0" w:type="dxa"/>
          <w:left w:w="108" w:type="dxa"/>
          <w:bottom w:w="0" w:type="dxa"/>
          <w:right w:w="108" w:type="dxa"/>
        </w:tblCellMar>
      </w:tblPr>
      <w:tblGrid>
        <w:gridCol w:w="1781"/>
        <w:gridCol w:w="7248"/>
      </w:tblGrid>
      <w:tr>
        <w:tblPrEx>
          <w:tblCellMar>
            <w:top w:w="0" w:type="dxa"/>
            <w:left w:w="108" w:type="dxa"/>
            <w:bottom w:w="0" w:type="dxa"/>
            <w:right w:w="108" w:type="dxa"/>
          </w:tblCellMar>
        </w:tblPrEx>
        <w:trPr>
          <w:trHeight w:val="394" w:hRule="atLeast"/>
        </w:trPr>
        <w:tc>
          <w:tcPr>
            <w:tcW w:w="178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序    号</w:t>
            </w:r>
          </w:p>
        </w:tc>
        <w:tc>
          <w:tcPr>
            <w:tcW w:w="7248" w:type="dxa"/>
            <w:tcBorders>
              <w:top w:val="single" w:color="auto" w:sz="4" w:space="0"/>
              <w:left w:val="nil"/>
              <w:bottom w:val="single" w:color="auto" w:sz="4" w:space="0"/>
              <w:right w:val="single" w:color="auto" w:sz="4" w:space="0"/>
            </w:tcBorders>
            <w:shd w:val="clear" w:color="auto" w:fill="auto"/>
            <w:noWrap/>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9</w:t>
            </w:r>
          </w:p>
        </w:tc>
      </w:tr>
      <w:tr>
        <w:tblPrEx>
          <w:tblCellMar>
            <w:top w:w="0" w:type="dxa"/>
            <w:left w:w="108" w:type="dxa"/>
            <w:bottom w:w="0" w:type="dxa"/>
            <w:right w:w="108" w:type="dxa"/>
          </w:tblCellMar>
        </w:tblPrEx>
        <w:trPr>
          <w:trHeight w:val="394" w:hRule="atLeast"/>
        </w:trPr>
        <w:tc>
          <w:tcPr>
            <w:tcW w:w="1781"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权力类型</w:t>
            </w:r>
          </w:p>
        </w:tc>
        <w:tc>
          <w:tcPr>
            <w:tcW w:w="7248"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行政许可</w:t>
            </w:r>
          </w:p>
        </w:tc>
      </w:tr>
      <w:tr>
        <w:tblPrEx>
          <w:tblCellMar>
            <w:top w:w="0" w:type="dxa"/>
            <w:left w:w="108" w:type="dxa"/>
            <w:bottom w:w="0" w:type="dxa"/>
            <w:right w:w="108" w:type="dxa"/>
          </w:tblCellMar>
        </w:tblPrEx>
        <w:trPr>
          <w:trHeight w:val="319" w:hRule="atLeast"/>
        </w:trPr>
        <w:tc>
          <w:tcPr>
            <w:tcW w:w="1781"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权力项目名称</w:t>
            </w:r>
          </w:p>
        </w:tc>
        <w:tc>
          <w:tcPr>
            <w:tcW w:w="7248"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燃气经营者改动市政燃气设施审批</w:t>
            </w:r>
          </w:p>
        </w:tc>
      </w:tr>
      <w:tr>
        <w:tblPrEx>
          <w:tblCellMar>
            <w:top w:w="0" w:type="dxa"/>
            <w:left w:w="108" w:type="dxa"/>
            <w:bottom w:w="0" w:type="dxa"/>
            <w:right w:w="108" w:type="dxa"/>
          </w:tblCellMar>
        </w:tblPrEx>
        <w:trPr>
          <w:trHeight w:val="3521" w:hRule="atLeast"/>
        </w:trPr>
        <w:tc>
          <w:tcPr>
            <w:tcW w:w="1781"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实施依据</w:t>
            </w:r>
          </w:p>
        </w:tc>
        <w:tc>
          <w:tcPr>
            <w:tcW w:w="7248"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城镇燃气管理条例》（国务院令第583号）第三十八条“燃气经营者改动市政燃气设施，应当制定改动方案，报县级以上地方人民政府燃气管理部门批准。改动方案应当符合燃气发展规划，明确安全施工要求，有安全防护和保障正常用气的措施”。</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四川省燃气管理条例》第三十七条“禁止任何单位和个人擅自安装、拆除、迁移、改造燃气设施。因工程建设或者改造，确需迁移、改装或者拆除市政公共燃气设施的，建设单位和施工单位应当与燃气经营企业共同制定改动方案，报经县级人民政府燃气管理部门批准。改动由燃气经营企业组织实施，所需费用由建设单位承担”。                        </w:t>
            </w:r>
          </w:p>
        </w:tc>
      </w:tr>
      <w:tr>
        <w:tblPrEx>
          <w:tblCellMar>
            <w:top w:w="0" w:type="dxa"/>
            <w:left w:w="108" w:type="dxa"/>
            <w:bottom w:w="0" w:type="dxa"/>
            <w:right w:w="108" w:type="dxa"/>
          </w:tblCellMar>
        </w:tblPrEx>
        <w:trPr>
          <w:trHeight w:val="551" w:hRule="atLeast"/>
        </w:trPr>
        <w:tc>
          <w:tcPr>
            <w:tcW w:w="1781"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责任主体</w:t>
            </w:r>
          </w:p>
        </w:tc>
        <w:tc>
          <w:tcPr>
            <w:tcW w:w="7248"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成都市成华区行政审批局</w:t>
            </w:r>
          </w:p>
        </w:tc>
      </w:tr>
      <w:tr>
        <w:tblPrEx>
          <w:tblCellMar>
            <w:top w:w="0" w:type="dxa"/>
            <w:left w:w="108" w:type="dxa"/>
            <w:bottom w:w="0" w:type="dxa"/>
            <w:right w:w="108" w:type="dxa"/>
          </w:tblCellMar>
        </w:tblPrEx>
        <w:trPr>
          <w:trHeight w:val="2147" w:hRule="atLeast"/>
        </w:trPr>
        <w:tc>
          <w:tcPr>
            <w:tcW w:w="1781"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w:t>
            </w:r>
          </w:p>
        </w:tc>
        <w:tc>
          <w:tcPr>
            <w:tcW w:w="7248"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1.受理责任：公示应当提交的材料，对书面申请材料进行形式审查，一次性告知补正材料，依法受理或不予受理（不予受理应当告知理由，并告知申请人享有依法申请行政复议或者提起行政诉讼的权力）。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2.审查责任：对书面申请材料进行审查，并提出意见。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3.决定责任：在规定时间内作出行政许可或不予行政许可的决定（不予行政许可的应当书面告知理由，并告知申请人享有依法申请行政复议或者提起行政诉讼的权力）。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4.其它责任：法律法规规定应履行的其它责任。</w:t>
            </w:r>
          </w:p>
        </w:tc>
      </w:tr>
      <w:tr>
        <w:tblPrEx>
          <w:tblCellMar>
            <w:top w:w="0" w:type="dxa"/>
            <w:left w:w="108" w:type="dxa"/>
            <w:bottom w:w="0" w:type="dxa"/>
            <w:right w:w="108" w:type="dxa"/>
          </w:tblCellMar>
        </w:tblPrEx>
        <w:trPr>
          <w:trHeight w:val="2202" w:hRule="atLeast"/>
        </w:trPr>
        <w:tc>
          <w:tcPr>
            <w:tcW w:w="1781"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责任事项依据</w:t>
            </w:r>
          </w:p>
        </w:tc>
        <w:tc>
          <w:tcPr>
            <w:tcW w:w="7248"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四川省燃气管理条例》第三十七条“禁止任何单位和个人擅自安装、拆除、迁移、改造燃气设施。因工程建设或者改造，确需迁移、改装或者拆除市政公共燃气设施的，建设单位和施工单位应当与燃气经营企业共同制定改动方案，报经县级人民政府燃气管理部门批准。改动由燃气经营企业组织实施，所需费用由建设单位承担”。</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4.同上。</w:t>
            </w:r>
          </w:p>
        </w:tc>
      </w:tr>
      <w:tr>
        <w:tblPrEx>
          <w:tblCellMar>
            <w:top w:w="0" w:type="dxa"/>
            <w:left w:w="108" w:type="dxa"/>
            <w:bottom w:w="0" w:type="dxa"/>
            <w:right w:w="108" w:type="dxa"/>
          </w:tblCellMar>
        </w:tblPrEx>
        <w:trPr>
          <w:trHeight w:val="558" w:hRule="atLeast"/>
        </w:trPr>
        <w:tc>
          <w:tcPr>
            <w:tcW w:w="1781"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追责情形</w:t>
            </w:r>
          </w:p>
        </w:tc>
        <w:tc>
          <w:tcPr>
            <w:tcW w:w="7248"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城镇燃气管理条例》等法律法规规章的相关规定追究相应的责任。</w:t>
            </w:r>
          </w:p>
        </w:tc>
      </w:tr>
      <w:tr>
        <w:tblPrEx>
          <w:tblCellMar>
            <w:top w:w="0" w:type="dxa"/>
            <w:left w:w="108" w:type="dxa"/>
            <w:bottom w:w="0" w:type="dxa"/>
            <w:right w:w="108" w:type="dxa"/>
          </w:tblCellMar>
        </w:tblPrEx>
        <w:trPr>
          <w:trHeight w:val="394" w:hRule="atLeast"/>
        </w:trPr>
        <w:tc>
          <w:tcPr>
            <w:tcW w:w="178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监督电话</w:t>
            </w:r>
          </w:p>
        </w:tc>
        <w:tc>
          <w:tcPr>
            <w:tcW w:w="724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028-84384493</w:t>
            </w:r>
          </w:p>
        </w:tc>
      </w:tr>
    </w:tbl>
    <w:p>
      <w:pPr>
        <w:pStyle w:val="3"/>
        <w:rPr>
          <w:rFonts w:ascii="Times New Roman" w:hAnsi="Times New Roman"/>
        </w:rPr>
      </w:pPr>
      <w:r>
        <w:rPr>
          <w:rFonts w:hint="eastAsia" w:ascii="Times New Roman" w:hAnsi="Times New Roman"/>
        </w:rPr>
        <w:t>表2-10</w:t>
      </w:r>
    </w:p>
    <w:p>
      <w:pPr>
        <w:rPr>
          <w:rFonts w:ascii="Times New Roman" w:hAnsi="Times New Roman"/>
        </w:rPr>
      </w:pPr>
    </w:p>
    <w:tbl>
      <w:tblPr>
        <w:tblStyle w:val="11"/>
        <w:tblW w:w="8999" w:type="dxa"/>
        <w:jc w:val="center"/>
        <w:tblLayout w:type="autofit"/>
        <w:tblCellMar>
          <w:top w:w="0" w:type="dxa"/>
          <w:left w:w="108" w:type="dxa"/>
          <w:bottom w:w="0" w:type="dxa"/>
          <w:right w:w="108" w:type="dxa"/>
        </w:tblCellMar>
      </w:tblPr>
      <w:tblGrid>
        <w:gridCol w:w="1907"/>
        <w:gridCol w:w="7092"/>
      </w:tblGrid>
      <w:tr>
        <w:tblPrEx>
          <w:tblCellMar>
            <w:top w:w="0" w:type="dxa"/>
            <w:left w:w="108" w:type="dxa"/>
            <w:bottom w:w="0" w:type="dxa"/>
            <w:right w:w="108" w:type="dxa"/>
          </w:tblCellMar>
        </w:tblPrEx>
        <w:trPr>
          <w:trHeight w:val="400" w:hRule="atLeast"/>
          <w:jc w:val="center"/>
        </w:trPr>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60" w:lineRule="exact"/>
              <w:jc w:val="center"/>
              <w:rPr>
                <w:rFonts w:ascii="Times New Roman" w:hAnsi="Times New Roman"/>
              </w:rPr>
            </w:pPr>
            <w:r>
              <w:rPr>
                <w:rFonts w:hint="eastAsia" w:ascii="Times New Roman" w:hAnsi="Times New Roman"/>
              </w:rPr>
              <w:t>序    号</w:t>
            </w:r>
          </w:p>
        </w:tc>
        <w:tc>
          <w:tcPr>
            <w:tcW w:w="7092" w:type="dxa"/>
            <w:tcBorders>
              <w:top w:val="single" w:color="auto" w:sz="4" w:space="0"/>
              <w:left w:val="nil"/>
              <w:bottom w:val="single" w:color="auto" w:sz="4" w:space="0"/>
              <w:right w:val="single" w:color="auto" w:sz="4" w:space="0"/>
            </w:tcBorders>
            <w:shd w:val="clear" w:color="auto" w:fill="auto"/>
            <w:noWrap/>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10</w:t>
            </w:r>
          </w:p>
        </w:tc>
      </w:tr>
      <w:tr>
        <w:tblPrEx>
          <w:tblCellMar>
            <w:top w:w="0" w:type="dxa"/>
            <w:left w:w="108" w:type="dxa"/>
            <w:bottom w:w="0" w:type="dxa"/>
            <w:right w:w="108" w:type="dxa"/>
          </w:tblCellMar>
        </w:tblPrEx>
        <w:trPr>
          <w:trHeight w:val="400" w:hRule="atLeast"/>
          <w:jc w:val="center"/>
        </w:trPr>
        <w:tc>
          <w:tcPr>
            <w:tcW w:w="1907" w:type="dxa"/>
            <w:tcBorders>
              <w:top w:val="nil"/>
              <w:left w:val="single" w:color="auto" w:sz="4" w:space="0"/>
              <w:bottom w:val="single" w:color="auto" w:sz="4" w:space="0"/>
              <w:right w:val="single" w:color="auto" w:sz="4" w:space="0"/>
            </w:tcBorders>
            <w:shd w:val="clear" w:color="auto" w:fill="auto"/>
            <w:noWrap/>
            <w:vAlign w:val="center"/>
          </w:tcPr>
          <w:p>
            <w:pPr>
              <w:spacing w:line="360" w:lineRule="exact"/>
              <w:jc w:val="center"/>
              <w:rPr>
                <w:rFonts w:ascii="Times New Roman" w:hAnsi="Times New Roman"/>
              </w:rPr>
            </w:pPr>
            <w:r>
              <w:rPr>
                <w:rFonts w:hint="eastAsia" w:ascii="Times New Roman" w:hAnsi="Times New Roman"/>
              </w:rPr>
              <w:t>权力类型</w:t>
            </w:r>
          </w:p>
        </w:tc>
        <w:tc>
          <w:tcPr>
            <w:tcW w:w="7092"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行政许可</w:t>
            </w:r>
          </w:p>
        </w:tc>
      </w:tr>
      <w:tr>
        <w:tblPrEx>
          <w:tblCellMar>
            <w:top w:w="0" w:type="dxa"/>
            <w:left w:w="108" w:type="dxa"/>
            <w:bottom w:w="0" w:type="dxa"/>
            <w:right w:w="108" w:type="dxa"/>
          </w:tblCellMar>
        </w:tblPrEx>
        <w:trPr>
          <w:trHeight w:val="580" w:hRule="atLeast"/>
          <w:jc w:val="center"/>
        </w:trPr>
        <w:tc>
          <w:tcPr>
            <w:tcW w:w="1907" w:type="dxa"/>
            <w:tcBorders>
              <w:top w:val="nil"/>
              <w:left w:val="single" w:color="auto" w:sz="4" w:space="0"/>
              <w:bottom w:val="single" w:color="auto" w:sz="4" w:space="0"/>
              <w:right w:val="single" w:color="auto" w:sz="4" w:space="0"/>
            </w:tcBorders>
            <w:shd w:val="clear" w:color="auto" w:fill="auto"/>
            <w:vAlign w:val="center"/>
          </w:tcPr>
          <w:p>
            <w:pPr>
              <w:spacing w:line="360" w:lineRule="exact"/>
              <w:jc w:val="center"/>
              <w:rPr>
                <w:rFonts w:ascii="Times New Roman" w:hAnsi="Times New Roman"/>
              </w:rPr>
            </w:pPr>
            <w:r>
              <w:rPr>
                <w:rFonts w:hint="eastAsia" w:ascii="Times New Roman" w:hAnsi="Times New Roman"/>
              </w:rPr>
              <w:t>权力项目名称</w:t>
            </w:r>
          </w:p>
        </w:tc>
        <w:tc>
          <w:tcPr>
            <w:tcW w:w="7092"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计量标准器具核准</w:t>
            </w:r>
          </w:p>
        </w:tc>
      </w:tr>
      <w:tr>
        <w:tblPrEx>
          <w:tblCellMar>
            <w:top w:w="0" w:type="dxa"/>
            <w:left w:w="108" w:type="dxa"/>
            <w:bottom w:w="0" w:type="dxa"/>
            <w:right w:w="108" w:type="dxa"/>
          </w:tblCellMar>
        </w:tblPrEx>
        <w:trPr>
          <w:trHeight w:val="5881" w:hRule="atLeast"/>
          <w:jc w:val="center"/>
        </w:trPr>
        <w:tc>
          <w:tcPr>
            <w:tcW w:w="1907" w:type="dxa"/>
            <w:tcBorders>
              <w:top w:val="nil"/>
              <w:left w:val="single" w:color="auto" w:sz="4" w:space="0"/>
              <w:bottom w:val="single" w:color="auto" w:sz="4" w:space="0"/>
              <w:right w:val="single" w:color="auto" w:sz="4" w:space="0"/>
            </w:tcBorders>
            <w:shd w:val="clear" w:color="auto" w:fill="auto"/>
            <w:noWrap/>
            <w:vAlign w:val="center"/>
          </w:tcPr>
          <w:p>
            <w:pPr>
              <w:spacing w:line="360" w:lineRule="exact"/>
              <w:jc w:val="center"/>
              <w:rPr>
                <w:rFonts w:ascii="Times New Roman" w:hAnsi="Times New Roman"/>
              </w:rPr>
            </w:pPr>
            <w:r>
              <w:rPr>
                <w:rFonts w:hint="eastAsia" w:ascii="Times New Roman" w:hAnsi="Times New Roman"/>
              </w:rPr>
              <w:t>实施依据</w:t>
            </w:r>
          </w:p>
        </w:tc>
        <w:tc>
          <w:tcPr>
            <w:tcW w:w="7092"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中华人民共和国计量法》第六条“县级以上地方人民政府计量行政部门根据本地区的需要，建立社会公用计量标准器具，经上级人民政府计量行政部门主持考核合格后使用”、第七条“国务院有关主管部门和省、自治区、直辖市人民政府有关主管部门，根据本部门的特殊需要，可以建立本部门使用的计量标准器具，其各项最高计量标准器具经同级人民政府计量行政部门主持考核合格后使用”、第八条“企业、事业单位根据需要，可以建立本单位使用的计量标准器具，其各项最高计量标准器具经有关人民政府计量行政部门主持考核合格后使用”。</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计量标准考核办法》第六条“进行计量标准考核，应当考核以下内容：（一）计量标准器及配套设备齐全，计量标准器必须经法定或者计量授权的计量技术机构检定合格（没有计量检定规程的，应当通过校准、比对等方式，将量值溯源至国家计量基准或者社会公用计量标准），配套的计量设备经检定合格或者校准；（二）具备开展量值传递的计量检定规程或者技术规范和完整的技术资料；（三）具备符合计量检定规程或者技术规范并确保计量标准正常工作所需要的温度、湿度、防尘、防震、防腐蚀、抗干扰等环境条件和工作场地；（四）具备与所开展量值传递工作相适应的技术人员，开展计量检定工作，应当配备2名以上获相应项目检定资质的计量检定人员，开展其他方式量值传递工作，应当配备具有相应资质的人员；（五）具有完善的运行、维护制度，包括实验室岗位责任制度，计量标准的保存、使用、维护制度，周期检定制度，检定记录及检定证书核验制度，事故报告制度，计量标准技术档案管理制度等；（六）计量标准的测量重复性和稳定性符合技术要求”。</w:t>
            </w:r>
          </w:p>
        </w:tc>
      </w:tr>
      <w:tr>
        <w:tblPrEx>
          <w:tblCellMar>
            <w:top w:w="0" w:type="dxa"/>
            <w:left w:w="108" w:type="dxa"/>
            <w:bottom w:w="0" w:type="dxa"/>
            <w:right w:w="108" w:type="dxa"/>
          </w:tblCellMar>
        </w:tblPrEx>
        <w:trPr>
          <w:trHeight w:val="400" w:hRule="atLeast"/>
          <w:jc w:val="center"/>
        </w:trPr>
        <w:tc>
          <w:tcPr>
            <w:tcW w:w="1907" w:type="dxa"/>
            <w:tcBorders>
              <w:top w:val="nil"/>
              <w:left w:val="single" w:color="auto" w:sz="4" w:space="0"/>
              <w:bottom w:val="single" w:color="auto" w:sz="4" w:space="0"/>
              <w:right w:val="single" w:color="auto" w:sz="4" w:space="0"/>
            </w:tcBorders>
            <w:shd w:val="clear" w:color="auto" w:fill="auto"/>
            <w:noWrap/>
            <w:vAlign w:val="center"/>
          </w:tcPr>
          <w:p>
            <w:pPr>
              <w:spacing w:line="360" w:lineRule="exact"/>
              <w:jc w:val="center"/>
              <w:rPr>
                <w:rFonts w:ascii="Times New Roman" w:hAnsi="Times New Roman"/>
              </w:rPr>
            </w:pPr>
            <w:r>
              <w:rPr>
                <w:rFonts w:hint="eastAsia" w:ascii="Times New Roman" w:hAnsi="Times New Roman"/>
              </w:rPr>
              <w:t>责任主体</w:t>
            </w:r>
          </w:p>
        </w:tc>
        <w:tc>
          <w:tcPr>
            <w:tcW w:w="7092"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成都市成华区行政审批局</w:t>
            </w:r>
          </w:p>
        </w:tc>
      </w:tr>
      <w:tr>
        <w:tblPrEx>
          <w:tblCellMar>
            <w:top w:w="0" w:type="dxa"/>
            <w:left w:w="108" w:type="dxa"/>
            <w:bottom w:w="0" w:type="dxa"/>
            <w:right w:w="108" w:type="dxa"/>
          </w:tblCellMar>
        </w:tblPrEx>
        <w:trPr>
          <w:trHeight w:val="2195" w:hRule="atLeast"/>
          <w:jc w:val="center"/>
        </w:trPr>
        <w:tc>
          <w:tcPr>
            <w:tcW w:w="1907" w:type="dxa"/>
            <w:tcBorders>
              <w:top w:val="nil"/>
              <w:left w:val="single" w:color="auto" w:sz="4" w:space="0"/>
              <w:bottom w:val="single" w:color="auto" w:sz="4" w:space="0"/>
              <w:right w:val="single" w:color="auto" w:sz="4" w:space="0"/>
            </w:tcBorders>
            <w:shd w:val="clear" w:color="auto" w:fill="auto"/>
            <w:noWrap/>
            <w:vAlign w:val="center"/>
          </w:tcPr>
          <w:p>
            <w:pPr>
              <w:spacing w:line="360" w:lineRule="exact"/>
              <w:jc w:val="center"/>
              <w:rPr>
                <w:rFonts w:ascii="Times New Roman" w:hAnsi="Times New Roman"/>
              </w:rPr>
            </w:pPr>
            <w:r>
              <w:rPr>
                <w:rFonts w:hint="eastAsia" w:ascii="Times New Roman" w:hAnsi="Times New Roman"/>
              </w:rPr>
              <w:t>责任事项</w:t>
            </w:r>
          </w:p>
        </w:tc>
        <w:tc>
          <w:tcPr>
            <w:tcW w:w="7092" w:type="dxa"/>
            <w:tcBorders>
              <w:top w:val="nil"/>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1.受理责任：公示应当提交的材料，对书面申请材料进行形式审查，一次性告知补正材料，依法受理或不予受理（不予受理应当告知理由，并告知申请人享有依法申请行政复议或者提起行政诉讼的权力）。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2.审查责任：对书面申请材料进行审查，并提出意见。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3.决定责任：在规定时间内作出行政许可或不予行政许可的决定（不予行政许可的应当书面告知理由，并告知申请人享有依法申请行政复议或者提起行政诉讼的权力）。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4.其它责任：法律法规规定应履行的其它责任。</w:t>
            </w:r>
          </w:p>
        </w:tc>
      </w:tr>
      <w:tr>
        <w:tblPrEx>
          <w:tblCellMar>
            <w:top w:w="0" w:type="dxa"/>
            <w:left w:w="108" w:type="dxa"/>
            <w:bottom w:w="0" w:type="dxa"/>
            <w:right w:w="108" w:type="dxa"/>
          </w:tblCellMar>
        </w:tblPrEx>
        <w:trPr>
          <w:trHeight w:val="9204" w:hRule="atLeast"/>
          <w:jc w:val="center"/>
        </w:trPr>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60" w:lineRule="exact"/>
              <w:jc w:val="center"/>
              <w:rPr>
                <w:rFonts w:ascii="Times New Roman" w:hAnsi="Times New Roman"/>
              </w:rPr>
            </w:pPr>
            <w:r>
              <w:rPr>
                <w:rFonts w:hint="eastAsia" w:ascii="Times New Roman" w:hAnsi="Times New Roman"/>
              </w:rPr>
              <w:t>责任事项依据</w:t>
            </w:r>
          </w:p>
        </w:tc>
        <w:tc>
          <w:tcPr>
            <w:tcW w:w="7092" w:type="dxa"/>
            <w:tcBorders>
              <w:top w:val="single" w:color="auto" w:sz="4" w:space="0"/>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中华人民共和国计量法》第六条“县级以上地方人民政府计量行政部门根据本地区的需要，建立社会公用计量标准器具，经上级人民政府计量行政部门主持考核合格后使用”、第七条“国务院有关主管部门和省、自治区、直辖市人民政府有关主管部门，根据本部门的特殊需要，可以建立本部门使用的计量标准器具，其各项最高计量标准器具经同级人民政府计量行政部门主持考核合格后使用”、第八条“企业、事业单位根据需要，可以建立本单位使用的计量标准器具，其各项最高计量标准器具经有关人民政府计量行政部门主持考核合格后使用”。《计量标准考核办法》第十五条　主持考核的质量技术监督部门应当在接到考评材料的20个工作日内完成审批工作，确认考核合格的，主持考核的质量技术监督部门做出考核合格的行政许可决定，并在10个工作日内向申请考核单位颁发计量标准考核证书；不合格的，主持考核的质量技术监督部门应当向申请考核单位发送不予行政许可决定。</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4.《中华人民共和国计量法》第九条“未按照规定申请检定或者检定不合格的，不得使用。实行强制检定的工作计量器具的目录和管理办法，由国务院制定”。《计量标准考核办法》第十六条　计量标准考核证书的有效期为4年。在证书有效期内，如需要更换、封存和注销计量标准，应当向主持考核的质量技术监督部门申报、履行有关手续。注销计量标准的，由主持考核的质量技术监督部门收回计量标准考核证书。第十七条　计量标准考核证书有效期届满前6个月，持证单位应当向主持考核的质量技术监督部门申请复查考核。经复查考核合格，准予延长有效期；不合格的，主持考核的质量技术监督部门应当向申请复查考核单位发送不予行政许可决定。超过计量标准考核证书有效期的，申请考核单位应当按照新建计量标准重新申请考核。</w:t>
            </w:r>
          </w:p>
        </w:tc>
      </w:tr>
      <w:tr>
        <w:tblPrEx>
          <w:tblCellMar>
            <w:top w:w="0" w:type="dxa"/>
            <w:left w:w="108" w:type="dxa"/>
            <w:bottom w:w="0" w:type="dxa"/>
            <w:right w:w="108" w:type="dxa"/>
          </w:tblCellMar>
        </w:tblPrEx>
        <w:trPr>
          <w:trHeight w:val="1978" w:hRule="atLeast"/>
          <w:jc w:val="center"/>
        </w:trPr>
        <w:tc>
          <w:tcPr>
            <w:tcW w:w="1907"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60" w:lineRule="exact"/>
              <w:jc w:val="center"/>
              <w:rPr>
                <w:rFonts w:ascii="Times New Roman" w:hAnsi="Times New Roman"/>
              </w:rPr>
            </w:pPr>
            <w:r>
              <w:rPr>
                <w:rFonts w:hint="eastAsia" w:ascii="Times New Roman" w:hAnsi="Times New Roman"/>
              </w:rPr>
              <w:t>追责情形</w:t>
            </w:r>
          </w:p>
        </w:tc>
        <w:tc>
          <w:tcPr>
            <w:tcW w:w="7092" w:type="dxa"/>
            <w:tcBorders>
              <w:top w:val="single" w:color="auto" w:sz="4" w:space="0"/>
              <w:left w:val="nil"/>
              <w:bottom w:val="single" w:color="auto" w:sz="4" w:space="0"/>
              <w:right w:val="single" w:color="auto" w:sz="4" w:space="0"/>
            </w:tcBorders>
            <w:shd w:val="clear" w:color="auto" w:fill="auto"/>
          </w:tcPr>
          <w:p>
            <w:pPr>
              <w:widowControl/>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中华人民共和国计量法》等法律法规规章的相关规定追究相应的责任。</w:t>
            </w:r>
          </w:p>
        </w:tc>
      </w:tr>
      <w:tr>
        <w:tblPrEx>
          <w:tblCellMar>
            <w:top w:w="0" w:type="dxa"/>
            <w:left w:w="108" w:type="dxa"/>
            <w:bottom w:w="0" w:type="dxa"/>
            <w:right w:w="108" w:type="dxa"/>
          </w:tblCellMar>
        </w:tblPrEx>
        <w:trPr>
          <w:trHeight w:val="400" w:hRule="atLeast"/>
          <w:jc w:val="center"/>
        </w:trPr>
        <w:tc>
          <w:tcPr>
            <w:tcW w:w="1907" w:type="dxa"/>
            <w:tcBorders>
              <w:top w:val="nil"/>
              <w:left w:val="single" w:color="auto" w:sz="4" w:space="0"/>
              <w:bottom w:val="single" w:color="auto" w:sz="4" w:space="0"/>
              <w:right w:val="single" w:color="auto" w:sz="4" w:space="0"/>
            </w:tcBorders>
            <w:shd w:val="clear" w:color="auto" w:fill="auto"/>
            <w:noWrap/>
            <w:vAlign w:val="center"/>
          </w:tcPr>
          <w:p>
            <w:pPr>
              <w:spacing w:line="360" w:lineRule="exact"/>
              <w:jc w:val="center"/>
              <w:rPr>
                <w:rFonts w:ascii="Times New Roman" w:hAnsi="Times New Roman"/>
              </w:rPr>
            </w:pPr>
            <w:r>
              <w:rPr>
                <w:rFonts w:hint="eastAsia" w:ascii="Times New Roman" w:hAnsi="Times New Roman"/>
              </w:rPr>
              <w:t>监督电话</w:t>
            </w:r>
          </w:p>
        </w:tc>
        <w:tc>
          <w:tcPr>
            <w:tcW w:w="7092" w:type="dxa"/>
            <w:tcBorders>
              <w:top w:val="nil"/>
              <w:left w:val="nil"/>
              <w:bottom w:val="single" w:color="auto" w:sz="4" w:space="0"/>
              <w:right w:val="single" w:color="auto" w:sz="4" w:space="0"/>
            </w:tcBorders>
            <w:shd w:val="clear" w:color="auto" w:fill="auto"/>
            <w:noWrap/>
            <w:vAlign w:val="center"/>
          </w:tcPr>
          <w:p>
            <w:pPr>
              <w:widowControl/>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表2-11</w:t>
      </w:r>
    </w:p>
    <w:tbl>
      <w:tblPr>
        <w:tblStyle w:val="11"/>
        <w:tblW w:w="8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7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25" w:type="dxa"/>
            <w:shd w:val="clear" w:color="auto" w:fill="auto"/>
            <w:noWrap/>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序    号</w:t>
            </w:r>
          </w:p>
        </w:tc>
        <w:tc>
          <w:tcPr>
            <w:tcW w:w="7025" w:type="dxa"/>
            <w:shd w:val="clear" w:color="auto" w:fill="auto"/>
            <w:noWrap/>
          </w:tcPr>
          <w:p>
            <w:pPr>
              <w:keepNext/>
              <w:keepLines/>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725" w:type="dxa"/>
            <w:shd w:val="clear" w:color="auto" w:fill="auto"/>
            <w:noWrap/>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权力类型</w:t>
            </w:r>
          </w:p>
        </w:tc>
        <w:tc>
          <w:tcPr>
            <w:tcW w:w="7025" w:type="dxa"/>
            <w:shd w:val="clear" w:color="auto" w:fill="auto"/>
            <w:noWrap/>
            <w:vAlign w:val="center"/>
          </w:tcPr>
          <w:p>
            <w:pPr>
              <w:keepNext/>
              <w:keepLines/>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725" w:type="dxa"/>
            <w:shd w:val="clear" w:color="auto" w:fill="auto"/>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权力项目名称</w:t>
            </w:r>
          </w:p>
        </w:tc>
        <w:tc>
          <w:tcPr>
            <w:tcW w:w="7025" w:type="dxa"/>
            <w:shd w:val="clear" w:color="auto" w:fill="auto"/>
            <w:noWrap/>
            <w:vAlign w:val="center"/>
          </w:tcPr>
          <w:p>
            <w:pPr>
              <w:keepNext/>
              <w:keepLines/>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特种设备作业人员资格认定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44" w:hRule="atLeast"/>
          <w:jc w:val="center"/>
        </w:trPr>
        <w:tc>
          <w:tcPr>
            <w:tcW w:w="1725" w:type="dxa"/>
            <w:shd w:val="clear" w:color="auto" w:fill="auto"/>
            <w:noWrap/>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实施依据</w:t>
            </w:r>
          </w:p>
        </w:tc>
        <w:tc>
          <w:tcPr>
            <w:tcW w:w="7025" w:type="dxa"/>
            <w:shd w:val="clear" w:color="auto" w:fill="auto"/>
          </w:tcPr>
          <w:p>
            <w:pPr>
              <w:keepNext/>
              <w:keepLines/>
              <w:suppressLineNumbers/>
              <w:suppressAutoHyphens/>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特种设备安全法》第十四条“特种设备安全管理人员、检测人员和作业人员应当按照国家有关规定取得相应资格，方可从事相关工作。特种设备安全管理人员、检测人员和作业人员应当严格执行安全技术规范和管理制度，保证特种设备安全”。</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2.《特种设备作业人员监督管理办法》。</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3.《特种设备作业人员考核规则》。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725" w:type="dxa"/>
            <w:shd w:val="clear" w:color="auto" w:fill="auto"/>
            <w:noWrap/>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责任主体</w:t>
            </w:r>
          </w:p>
        </w:tc>
        <w:tc>
          <w:tcPr>
            <w:tcW w:w="7025" w:type="dxa"/>
            <w:shd w:val="clear" w:color="auto" w:fill="auto"/>
            <w:noWrap/>
            <w:vAlign w:val="center"/>
          </w:tcPr>
          <w:p>
            <w:pPr>
              <w:keepNext/>
              <w:keepLines/>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4" w:hRule="atLeast"/>
          <w:jc w:val="center"/>
        </w:trPr>
        <w:tc>
          <w:tcPr>
            <w:tcW w:w="1725" w:type="dxa"/>
            <w:shd w:val="clear" w:color="auto" w:fill="auto"/>
            <w:noWrap/>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w:t>
            </w:r>
          </w:p>
        </w:tc>
        <w:tc>
          <w:tcPr>
            <w:tcW w:w="7025" w:type="dxa"/>
            <w:shd w:val="clear" w:color="auto" w:fill="auto"/>
          </w:tcPr>
          <w:p>
            <w:pPr>
              <w:keepNext/>
              <w:keepLines/>
              <w:suppressLineNumbers/>
              <w:suppressAutoHyphens/>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1.受理责任：公示应当提交的材料，对书面申请材料进行形式审查，一次性告知补正材料，依法受理或不予受理（不予受理应当告知理由，并告知申请人享有依法申请行政复议或者提起行政诉讼的权力）。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2.审查责任：对书面申请材料进行审查，并提出意见。</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3.决定责任：在规定时间内作出行政许可或不予行政许可的决定（不予行政许可的应当书面告知理由，并告知申请人享有依法申请行政复议或者提起行政诉讼的权力）。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3" w:hRule="atLeast"/>
          <w:jc w:val="center"/>
        </w:trPr>
        <w:tc>
          <w:tcPr>
            <w:tcW w:w="1725" w:type="dxa"/>
            <w:shd w:val="clear" w:color="auto" w:fill="auto"/>
            <w:noWrap/>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责任事项依据</w:t>
            </w:r>
          </w:p>
        </w:tc>
        <w:tc>
          <w:tcPr>
            <w:tcW w:w="7025" w:type="dxa"/>
            <w:shd w:val="clear" w:color="auto" w:fill="auto"/>
          </w:tcPr>
          <w:p>
            <w:pPr>
              <w:keepNext/>
              <w:keepLines/>
              <w:suppressLineNumbers/>
              <w:suppressAutoHyphens/>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1.《特种设备作业人员监督管理办法》第十六条“发证部门应当在5个工作日内对报送材料进行审查，或者告知申请人补正申请材料，并作出是否受理的决定。能够当场审查的，应当当场办理。第十七条　对同意受理的申请，发证部门应当在20个工作日内完成审核批准手续。准予发证的，在10个工作日内向申请人颁发《特种设备作业人员证》；不予发证的，应当书面说明理由。第十八条　特种设备作业人员考核发证工作遵循便民、公开、高效的原则。为方便申请人办理考核发证事项，发证部门可以将受理和发放证书的地点设在考试报名地点，并在报名考试时委托考试机构对申请人是否符合报考条件进行审查，考试合格后发证部门可以直接办理受理手续和审核、发证事项”。</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2.同上。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3.同上。</w:t>
            </w:r>
            <w:r>
              <w:rPr>
                <w:rFonts w:hint="eastAsia" w:ascii="Times New Roman" w:hAnsi="Times New Roman" w:cs="宋体" w:eastAsiaTheme="minorEastAsia"/>
                <w:kern w:val="0"/>
                <w:szCs w:val="21"/>
              </w:rPr>
              <w:br w:type="textWrapping"/>
            </w:r>
            <w:r>
              <w:rPr>
                <w:rFonts w:hint="eastAsia" w:ascii="Times New Roman" w:hAnsi="Times New Roman" w:cs="宋体" w:eastAsiaTheme="minorEastAsia"/>
                <w:kern w:val="0"/>
                <w:szCs w:val="21"/>
              </w:rPr>
              <w:t xml:space="preserve">    4.《特种设备作业人员监督管理办法》第二十二条“《特种设备作业人员证》每4年复审一次。持证人员应当在复审期届满3个月前，向发证部门提出复审申请。对持证人员在4年内符合有关安全技术规范规定的不间断作业要求和安全、节能教育培训要求，且无违章操作或者管理等不良记录、未造成事故的，发证部门应当按照有关安全技术规范的规定准予复审合格，并在证书正本上加盖发证部门复审合格章。复审不合格、逾期未复审的，其《特种设备作业人员证》予以注销。第二十三条　有下列情形之一的，应当撤销《特种设备作业人员证》：（一）持证作业人员以考试作弊或者以其他欺骗方式取得《特种设备作业人员证》的；（二）持证作业人员违反特种设备的操作规程和有关的安全规章制度操作，情节严重的；（三）持证作业人员在作业过程中发现事故隐患或者其他不安全因素未立即报告，情节严重的；（四）考试机构或者发证部门工作人员滥用职权、玩忽职守、违反法定程序或者超越发证范围考核发证的；（五）依法可以撤销的其他情形。违反前款第（一）项规定的，持证人3年内不得再次申请《特种设备作业人员证》。第二十四条　《特种设备作业人员证》遗失或者损毁的，持证人应当及时报告发证部门，并在当地媒体予以公告。查证属实的，由发证部门补办证书”。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02" w:hRule="atLeast"/>
          <w:jc w:val="center"/>
        </w:trPr>
        <w:tc>
          <w:tcPr>
            <w:tcW w:w="1725" w:type="dxa"/>
            <w:shd w:val="clear" w:color="auto" w:fill="auto"/>
            <w:noWrap/>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追责情形</w:t>
            </w:r>
          </w:p>
        </w:tc>
        <w:tc>
          <w:tcPr>
            <w:tcW w:w="7025" w:type="dxa"/>
            <w:shd w:val="clear" w:color="auto" w:fill="auto"/>
          </w:tcPr>
          <w:p>
            <w:pPr>
              <w:keepNext/>
              <w:keepLines/>
              <w:suppressLineNumbers/>
              <w:suppressAutoHyphens/>
              <w:spacing w:line="360" w:lineRule="exact"/>
              <w:ind w:firstLine="420" w:firstLineChars="200"/>
              <w:jc w:val="left"/>
              <w:rPr>
                <w:rFonts w:ascii="Times New Roman" w:hAnsi="Times New Roman" w:cs="宋体" w:eastAsiaTheme="minorEastAsia"/>
                <w:kern w:val="0"/>
                <w:szCs w:val="21"/>
              </w:rPr>
            </w:pPr>
            <w:r>
              <w:rPr>
                <w:rFonts w:hint="eastAsia" w:ascii="Times New Roman" w:hAnsi="Times New Roman" w:cs="宋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特种设备作业人员监督管理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25" w:type="dxa"/>
            <w:shd w:val="clear" w:color="auto" w:fill="auto"/>
            <w:noWrap/>
            <w:vAlign w:val="center"/>
          </w:tcPr>
          <w:p>
            <w:pPr>
              <w:keepNext/>
              <w:keepLines/>
              <w:suppressLineNumbers/>
              <w:suppressAutoHyphens/>
              <w:spacing w:line="360" w:lineRule="exact"/>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监督电话</w:t>
            </w:r>
          </w:p>
        </w:tc>
        <w:tc>
          <w:tcPr>
            <w:tcW w:w="7025" w:type="dxa"/>
            <w:shd w:val="clear" w:color="auto" w:fill="auto"/>
            <w:noWrap/>
            <w:vAlign w:val="center"/>
          </w:tcPr>
          <w:p>
            <w:pPr>
              <w:keepNext/>
              <w:keepLines/>
              <w:suppressLineNumbers/>
              <w:suppressAutoHyphens/>
              <w:spacing w:line="360" w:lineRule="exact"/>
              <w:ind w:firstLine="420" w:firstLineChars="200"/>
              <w:jc w:val="center"/>
              <w:rPr>
                <w:rFonts w:ascii="Times New Roman" w:hAnsi="Times New Roman" w:cs="宋体" w:eastAsiaTheme="minorEastAsia"/>
                <w:kern w:val="0"/>
                <w:szCs w:val="21"/>
              </w:rPr>
            </w:pPr>
            <w:r>
              <w:rPr>
                <w:rFonts w:hint="eastAsia" w:ascii="Times New Roman" w:hAnsi="Times New Roman" w:cs="宋体" w:eastAsiaTheme="minorEastAsia"/>
                <w:kern w:val="0"/>
                <w:szCs w:val="21"/>
              </w:rPr>
              <w:t>028-84384493</w:t>
            </w:r>
          </w:p>
        </w:tc>
      </w:tr>
    </w:tbl>
    <w:p>
      <w:pPr>
        <w:widowControl/>
        <w:spacing w:line="360" w:lineRule="exact"/>
        <w:jc w:val="left"/>
        <w:rPr>
          <w:rFonts w:ascii="Times New Roman" w:hAnsi="Times New Roman" w:eastAsia="方正黑体简体"/>
          <w:sz w:val="32"/>
          <w:szCs w:val="32"/>
        </w:rPr>
      </w:pPr>
    </w:p>
    <w:p>
      <w:pPr>
        <w:widowControl/>
        <w:jc w:val="left"/>
        <w:rPr>
          <w:rFonts w:ascii="Times New Roman" w:hAnsi="Times New Roman"/>
        </w:rPr>
      </w:pPr>
      <w:r>
        <w:rPr>
          <w:rFonts w:ascii="Times New Roman" w:hAnsi="Times New Roman"/>
        </w:rPr>
        <w:br w:type="page"/>
      </w:r>
    </w:p>
    <w:p>
      <w:pPr>
        <w:pStyle w:val="3"/>
        <w:rPr>
          <w:rFonts w:ascii="Times New Roman" w:hAnsi="Times New Roman"/>
        </w:rPr>
      </w:pPr>
      <w:r>
        <w:rPr>
          <w:rFonts w:hint="eastAsia" w:ascii="Times New Roman" w:hAnsi="Times New Roman"/>
        </w:rPr>
        <w:t>表2-12</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关闭、闲置或者拆除生活垃圾处置的设施、场所核准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61"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城市生活垃圾管理办法》第十三条：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中华人民共和国固体废物污染环境防治法》第四十四条：禁止擅自关闭、闲置或者拆除生活垃圾处置的设施、场所；确有必要关闭、闲置或者拆除的，必须经所在地县级以上地方人民政府环境卫生行政主管部门和环境保护行政主管部门核准，并采取措施，防止污染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城市生活垃圾管理办法》第七条：处置建筑垃圾的单位，应当向城市人民政府市容环境卫生主管部门提出申请，获得城市建筑垃圾处置核准后，方可处置。城市人民政府市容环境卫生主管部门应当在接到申请后的20日内作出是否核准的决定。予以核准的，颁发核准文件;不予核准的，应当告知申请人，并说明理由。</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表2-13</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关闭、闲置、拆除城市环卫设施许可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1.《城市市容和环境卫生管理条例》第二十二条：一切单位和个人都不得擅自拆除环境卫生设施；因建设需要必须拆除的，建设单位必须事先提出拆迁方案，报城市人民政府市容环境卫生行政主管部门批准。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r>
              <w:rPr>
                <w:rFonts w:ascii="Times New Roman" w:hAnsi="Times New Roman" w:cs="方正仿宋简体" w:eastAsiaTheme="minorEastAsia"/>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表2-14</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城市建筑垃圾处置核准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《城市建筑垃圾管理规定》第七条：处置建筑垃圾的单位，应当向城市人民政府市容环境卫生主管部门提出申请，获得城市建筑垃圾处置核准后，方可处置。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城市建筑垃圾管理规定》第十八条：城市人民政府市容环境卫生主管部门核发城市建筑垃圾处置核准文件，有下列情形之一的，由其上级行政机关或者监察机关责令纠正，对直接负责的主管人员和其他直接责任人员依法给予行政处分;构成犯罪的，依法追究刑事责任:(一)对不符合法定条件的申请人核发城市建筑垃圾处置核准文件或者超越法定职权核发城市建筑垃圾处置核准文件的;(二)对符合条件的申请人不予核发城市建筑垃圾处置核准文件或者不在法定期限内核发城市建筑垃圾处置核准文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表2-15</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猎捕非重点保护陆生野生动物狩猎证核发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1.《中华人民共和国野生动物保护法》第二十二条：猎捕非国家重点保护野生动物的，应当依法取得县级以上地方人民政府野生动物保护主管部门核发的狩猎证，并且服从猎捕量限额管理。</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四川省〈中华人民共和国野生动物保护法〉实施办法》第十七条：猎捕国家和省保护的有益的或者有重要经济、科学研究价值的野生动物，必须经县级人民政府野生动物行政主管部门审核后，向市、州人民政府野生动物行政主管部门申请领取猎捕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7.《四川省〈中华人民共和国野生动物保护法〉实施办法》第四十二条：超过控制指标发放的猎捕证或者越权发放的猎捕证无效，对直接责任人员和主要负责人员，由其所在单位或者上级主管部门给予行政处分。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rPr>
          <w:rFonts w:ascii="Times New Roman" w:hAnsi="Times New Roman"/>
        </w:rPr>
      </w:pPr>
    </w:p>
    <w:p>
      <w:pPr>
        <w:rPr>
          <w:rFonts w:ascii="Times New Roman" w:hAnsi="Times New Roman"/>
        </w:rPr>
      </w:pPr>
      <w:r>
        <w:rPr>
          <w:rFonts w:ascii="Times New Roman" w:hAnsi="Times New Roman"/>
        </w:rPr>
        <w:br w:type="page"/>
      </w:r>
    </w:p>
    <w:p>
      <w:pPr>
        <w:pStyle w:val="3"/>
        <w:rPr>
          <w:rFonts w:ascii="Times New Roman" w:hAnsi="Times New Roman"/>
        </w:rPr>
      </w:pPr>
      <w:r>
        <w:rPr>
          <w:rFonts w:hint="eastAsia" w:ascii="Times New Roman" w:hAnsi="Times New Roman"/>
        </w:rPr>
        <w:t>表2-16</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序号</w:t>
            </w:r>
          </w:p>
        </w:tc>
        <w:tc>
          <w:tcPr>
            <w:tcW w:w="6804" w:type="dxa"/>
          </w:tcPr>
          <w:p>
            <w:pPr>
              <w:pStyle w:val="19"/>
              <w:keepNext/>
              <w:keepLines/>
              <w:suppressLineNumbers/>
              <w:suppressAutoHyphens/>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权力事项类型</w:t>
            </w:r>
          </w:p>
        </w:tc>
        <w:tc>
          <w:tcPr>
            <w:tcW w:w="6804" w:type="dxa"/>
          </w:tcPr>
          <w:p>
            <w:pPr>
              <w:pStyle w:val="19"/>
              <w:keepNext/>
              <w:keepLines/>
              <w:suppressLineNumbers/>
              <w:suppressAutoHyphens/>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权力项目名称</w:t>
            </w:r>
          </w:p>
        </w:tc>
        <w:tc>
          <w:tcPr>
            <w:tcW w:w="6804" w:type="dxa"/>
          </w:tcPr>
          <w:p>
            <w:pPr>
              <w:pStyle w:val="19"/>
              <w:keepNext/>
              <w:keepLines/>
              <w:suppressLineNumbers/>
              <w:suppressAutoHyphens/>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森林防火区野外生产用火许可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实施依据</w:t>
            </w:r>
          </w:p>
        </w:tc>
        <w:tc>
          <w:tcPr>
            <w:tcW w:w="6804" w:type="dxa"/>
          </w:tcPr>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四川省森林防火条例》第三十二条：森林防火期内，禁止在森林防火区野外用火。因防治病虫鼠害、冻害以及计划烧除、炼山造林、勘察、开采矿藏、工程建设等特殊情况，确需用火的，应当向县级人民政府提交野外用火申请。县级人民政府接到野外用火申请后，应当核查用火单位或个人的申请及防火安全措施，并依法予以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责任主体</w:t>
            </w:r>
          </w:p>
        </w:tc>
        <w:tc>
          <w:tcPr>
            <w:tcW w:w="6804" w:type="dxa"/>
          </w:tcPr>
          <w:p>
            <w:pPr>
              <w:pStyle w:val="19"/>
              <w:keepNext/>
              <w:keepLines/>
              <w:suppressLineNumbers/>
              <w:suppressAutoHyphens/>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责任事项</w:t>
            </w:r>
          </w:p>
        </w:tc>
        <w:tc>
          <w:tcPr>
            <w:tcW w:w="6804" w:type="dxa"/>
          </w:tcPr>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责任事项依据</w:t>
            </w:r>
          </w:p>
        </w:tc>
        <w:tc>
          <w:tcPr>
            <w:tcW w:w="6804" w:type="dxa"/>
          </w:tcPr>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追责情形</w:t>
            </w:r>
          </w:p>
        </w:tc>
        <w:tc>
          <w:tcPr>
            <w:tcW w:w="6804" w:type="dxa"/>
          </w:tcPr>
          <w:p>
            <w:pPr>
              <w:pStyle w:val="19"/>
              <w:keepNext/>
              <w:keepLines/>
              <w:suppressLineNumbers/>
              <w:suppressAutoHyphens/>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keepNext/>
              <w:keepLines/>
              <w:suppressLineNumbers/>
              <w:suppressAutoHyphens/>
              <w:spacing w:line="360" w:lineRule="exact"/>
              <w:jc w:val="center"/>
              <w:textAlignment w:val="center"/>
              <w:rPr>
                <w:rFonts w:ascii="Times New Roman" w:hAnsi="Times New Roman"/>
              </w:rPr>
            </w:pPr>
            <w:r>
              <w:rPr>
                <w:rFonts w:hint="eastAsia" w:ascii="Times New Roman" w:hAnsi="Times New Roman"/>
              </w:rPr>
              <w:t>监督电话</w:t>
            </w:r>
          </w:p>
        </w:tc>
        <w:tc>
          <w:tcPr>
            <w:tcW w:w="6804" w:type="dxa"/>
          </w:tcPr>
          <w:p>
            <w:pPr>
              <w:pStyle w:val="19"/>
              <w:keepNext/>
              <w:keepLines/>
              <w:suppressLineNumbers/>
              <w:suppressAutoHyphens/>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表2-17</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rPr>
            </w:pPr>
            <w:r>
              <w:rPr>
                <w:rFonts w:hint="eastAsia" w:ascii="Times New Roman" w:hAnsi="Times New Roman"/>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rPr>
            </w:pPr>
            <w:r>
              <w:rPr>
                <w:rFonts w:hint="eastAsia" w:ascii="Times New Roman" w:hAnsi="Times New Roman"/>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rPr>
            </w:pPr>
            <w:r>
              <w:rPr>
                <w:rFonts w:hint="eastAsia" w:ascii="Times New Roman" w:hAnsi="Times New Roman"/>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森林高火险期内，进入森林高火险区的审批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rPr>
            </w:pPr>
            <w:r>
              <w:rPr>
                <w:rFonts w:hint="eastAsia" w:ascii="Times New Roman" w:hAnsi="Times New Roman"/>
              </w:rPr>
              <w:t>实施依据</w:t>
            </w:r>
          </w:p>
        </w:tc>
        <w:tc>
          <w:tcPr>
            <w:tcW w:w="6804" w:type="dxa"/>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1.《森林防火条例》第二十九条：森林高火险期内，进入森林高火险区的，应当经县级以上地方人民政府批准，严格按照批准的时间、地点、范围活动，并接受县级以上地方人民政府林业主管部门的监督管理。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rPr>
            </w:pPr>
            <w:r>
              <w:rPr>
                <w:rFonts w:hint="eastAsia" w:ascii="Times New Roman" w:hAnsi="Times New Roman"/>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rPr>
            </w:pPr>
            <w:r>
              <w:rPr>
                <w:rFonts w:hint="eastAsia" w:ascii="Times New Roman" w:hAnsi="Times New Roman"/>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rPr>
            </w:pPr>
            <w:r>
              <w:rPr>
                <w:rFonts w:hint="eastAsia" w:ascii="Times New Roman" w:hAnsi="Times New Roman"/>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rPr>
            </w:pPr>
          </w:p>
          <w:p>
            <w:pPr>
              <w:spacing w:line="360" w:lineRule="exact"/>
              <w:jc w:val="center"/>
              <w:textAlignment w:val="center"/>
              <w:rPr>
                <w:rFonts w:ascii="Times New Roman" w:hAnsi="Times New Roman"/>
              </w:rPr>
            </w:pPr>
            <w:r>
              <w:rPr>
                <w:rFonts w:hint="eastAsia" w:ascii="Times New Roman" w:hAnsi="Times New Roman"/>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rPr>
            </w:pPr>
            <w:r>
              <w:rPr>
                <w:rFonts w:hint="eastAsia" w:ascii="Times New Roman" w:hAnsi="Times New Roman"/>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jc w:val="left"/>
        <w:rPr>
          <w:rFonts w:ascii="Times New Roman" w:hAnsi="Times New Roman" w:eastAsia="方正黑体简体"/>
          <w:sz w:val="32"/>
          <w:szCs w:val="32"/>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rPr>
      </w:pPr>
      <w:r>
        <w:rPr>
          <w:rFonts w:hint="eastAsia" w:ascii="Times New Roman" w:hAnsi="Times New Roman"/>
        </w:rPr>
        <w:t>表2-18</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8"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权力项目名称</w:t>
            </w:r>
          </w:p>
        </w:tc>
        <w:tc>
          <w:tcPr>
            <w:tcW w:w="7582" w:type="dxa"/>
            <w:vAlign w:val="center"/>
          </w:tcPr>
          <w:p>
            <w:pPr>
              <w:pStyle w:val="19"/>
              <w:spacing w:line="360" w:lineRule="exact"/>
              <w:ind w:firstLine="420" w:firstLineChars="200"/>
              <w:jc w:val="center"/>
              <w:rPr>
                <w:rFonts w:ascii="Times New Roman" w:hAnsi="Times New Roman" w:eastAsiaTheme="minorEastAsia"/>
                <w:sz w:val="21"/>
                <w:szCs w:val="21"/>
              </w:rPr>
            </w:pPr>
            <w:r>
              <w:rPr>
                <w:rFonts w:hint="eastAsia" w:ascii="Times New Roman" w:hAnsi="Times New Roman" w:cs="Times New Roman" w:eastAsiaTheme="minorEastAsia"/>
                <w:kern w:val="2"/>
                <w:sz w:val="21"/>
                <w:szCs w:val="21"/>
              </w:rPr>
              <w:t>非重点保护（“三有”）陆生野生动物人工繁育许可证核发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27"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四川省〈中华人民共和国野生动物保护法〉实施办法》第二十四条：驯养繁殖野生动物的单位和个人，须按下列规定申请领取驯养繁殖许可证：属国家重点保护野生动物，按国家有关规定办理；属省重点保护野生动物，由市、州人民政府野生动物行政主管部门审核，报省野生动物行政主管部门批准；属国家和省保护的有益的或者有重要经济、科学研究价值的野生动物，由县级人民政府野生动物行政主管部门审核，报市、州人民政府野生动物行政主管部门批准。</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0"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5"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37"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25"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2" w:hRule="atLeast"/>
          <w:jc w:val="center"/>
        </w:trPr>
        <w:tc>
          <w:tcPr>
            <w:tcW w:w="1560" w:type="dxa"/>
            <w:vAlign w:val="center"/>
          </w:tcPr>
          <w:p>
            <w:pPr>
              <w:spacing w:line="360" w:lineRule="exact"/>
              <w:jc w:val="center"/>
              <w:textAlignment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表2-19</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pStyle w:val="19"/>
              <w:spacing w:line="360" w:lineRule="exact"/>
              <w:ind w:firstLine="420" w:firstLineChars="200"/>
              <w:jc w:val="center"/>
              <w:rPr>
                <w:rFonts w:ascii="Times New Roman" w:hAnsi="Times New Roman" w:eastAsiaTheme="minorEastAsia"/>
                <w:sz w:val="21"/>
                <w:szCs w:val="21"/>
              </w:rPr>
            </w:pPr>
            <w:r>
              <w:rPr>
                <w:rFonts w:hint="eastAsia" w:ascii="Times New Roman" w:hAnsi="Times New Roman" w:cs="Times New Roman" w:eastAsiaTheme="minorEastAsia"/>
                <w:kern w:val="2"/>
                <w:sz w:val="21"/>
                <w:szCs w:val="21"/>
              </w:rPr>
              <w:t>出售、购买、利用非重点保护（“三有”）陆生野生动物或其产品审批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2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四川省〈中华人民共和国野生动物保护法〉实施办法》第二十六条：禁止非法出售、收购、利用、加工、转让野生动物或其产品。因科学研究、养殖、展览、交换、赠送和其它特殊情况，需要出售、收购、利用、加工、转让的，属国家一级保护野生动物或其产品，须经省野生动物行政主管部门审核，报国务院野生动物行政主管部门或其授权单位批准；属国家二级和省重点保护野生动物或其产品，经市、州人民政府或地区行政公署野生动物行政主管部门审核，报省野生动物行政主管部门批准；属国有和省保护的有益的或者有重要经济、科学研究价值的野生动物或其产品，由市、州人民政府野生动物行政主管部门批准。</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表2-20</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道路运输许可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道路运输条例》第二十四条：申请从事货运经营的，应当依法向工商行政管理机关办理有关登记手续后，按照下列规定提出申请并分别提交符合本条例第二十一条、第二十三条规定条件的相关材料：（一）从事危险货物运输经营以外的货运经营的，向县级道路运输管理机构提出申请；（二）从事危险货物运输经营的，向设区的市级道路运输管理机构提出申请。 依照前款规定收到申请的道路运输管理机构，应当自受理申请之日起20日内审查完毕，作出许可或者不予许可的决定。予以许可的，向申请人颁发道路运输经营许可证，并向申请人投入运输的车辆配发车辆营运证；不予许可的，应当书面通知申请人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 《中华人民共和国道路运输条例》第二十四条：依照前款规定收到申请的道路运输管理机构，应当自受理申请之日起20日内审查完毕，作出许可或者不予许可的决定。予以许可的，向申请人颁发道路运输经营许可证，并向申请人投入运输的车辆配发车辆营运证；不予许可的，应当书面通知申请人并说明理由。</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8.《道路货物运输及站场管理规定》第十一条：道路运输管理机构对道路货运经营申请予以受理的，应当自受理之日起20日内作出许可或者不予许可的决定；第十二条道：路运输管理机构对符合法定条件的道路货物运输经营申请作出准予行政许可决定的，应当出具《道路货物运输经营行政许可决定书》，明确许可事项。在10日内向被许可人颁发《道路运输经营许可证》，在《道路运输经营许可证》上注明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表2-21</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路政许可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 《四川省公路路政管理条例》第十三条：下列行为由市、州交通主管部门审批:(一)县道经营使用权变动;(二)在省道及县道设置立交、平交道口、埋设管线、杆线、电缆;(三)砍伐国道、省道和县道行道树在20棵以上的(砍伐19棵以下的由县交通主管部门审批);(四)跨越县、区的超限运输。前款第(一)、(二)、(三)项需报省交通主管部门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r>
              <w:rPr>
                <w:rFonts w:ascii="Times New Roman" w:hAnsi="Times New Roman" w:cs="方正仿宋简体" w:eastAsiaTheme="minorEastAsia"/>
                <w:kern w:val="0"/>
                <w:szCs w:val="21"/>
              </w:rPr>
              <w:t xml:space="preserve">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表2-22</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航务水运及水上（水下）审批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内河交通安全管理条例》第二十五条：在内河通航水域或者岸线上进行下列可能影响通航安全的作业或者活动的，应当在进行作业或者活动前报海事管理机构批准：（一）勘探、采掘、爆破；（二）构筑、设置、维修、拆除水上水下构筑物或者设施；（三）架设桥梁、索道；（四）铺设、检修、拆除水上水下电缆或者管道；（五）设置系船浮筒、浮趸、缆桩等设施；（六）航道建设，航道、码头前沿水域疏浚；（七）举行大型群众性活动、体育比赛。进行前款所列作业或者活动，需要进行可行性研究的，在进行可行性研究时应当征求海事管理机构的意见；依照法律、行政法规的规定，需经其他有关部门审批的，还应当依法办理有关审批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7.《中华人民共和国内河交通安全管理条例》第二十六条 海事管理机构审批本条例第二十五条规定的作业或者活动，应当自收到申请之日起30日内作出批准或者不批准的决定，并书面通知申请人。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表2-23</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防止船舶污染水域作业许可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0"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水污染防治法》第六十二条：船舶及有关作业单位从事有污染风险的作业活动，应当按照有关法律法规和标准，采取有效措施，防止造成水污染。海事管理机构、渔业主管部门应当加强对船舶及有关作业活动的监督管理。船舶进行散装液体污染危害性货物的过驳作业，应当编制作业方案，采取有效的安全和污染防治措施，并报作业地海事管理机构批准。</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hint="eastAsia"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表2-24</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公路超限运输审批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公路法》第五十条：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 运输单位不能按照前款规定采取防护措施的，由交通主管部门帮助其采取防护措施，所需费用由运输单位承担。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公路安全保护条例》第三十五条：车辆载运不可解体物品，车货总体的外廓尺寸或者总质量超过公路、公路桥梁、公路隧道的限载、限高、限宽、限长标准，确需在公路、公路桥梁、公路隧道行驶的，从事运输的单位和个人应当向公路管理机构申请公路超限运输许可。</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3.《道路交通安全阀》第四十八条：机动车载物应当符合核定的载质量，严禁超载；载物的长、宽、高不得违反装载要求，不得遗洒、飘散载运物。 机动车运载超限的不可解体的物品，影响交通安全的，应当按照公安机关交通管理部门指定的时间、路线、速度行驶，悬挂明显标志。在公路上运载超限的不可解体的物品，并应当依照公路法的规定执行。</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7.《公路安全保护条例》第三十六条：申请公路超限运输许可按照下列规定办理:（四）在区、县范围内进行超限运输的,向区、县公路管理机构提出申请,由区、县公路管理机构受理并审批。</w:t>
            </w:r>
            <w:r>
              <w:rPr>
                <w:rFonts w:ascii="Times New Roman" w:hAnsi="Times New Roman" w:cs="方正仿宋简体" w:eastAsiaTheme="minorEastAsia"/>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表2-25</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水运交通特种运输许可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内河交通安全管理条例》第二十二条：船舶在内河通航水域载运或者拖带超重、超长、超高、超宽、半潜的物体，必须在装船或者拖带前24小时报海事管理机构核定拟航行的航路、时间，并采取必要的安全措施，保障船舶载运或者拖带安全。船舶需要护航的，应当向海事管理机构申请护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6"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表2-26</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公路建设设计审批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四川省交通运输厅公路局关于进一步规范农村公路建设标准和审批程序的通知》第二条第（一）款：“单个项目30公里以上县乡道、二级及以上农村公路、大桥、特大桥、特殊结构桥梁、隧道工程项目和总投资超过500万元的路网结构改造项目设计由省交通运输厅公路局审批；其它农村公路和桥梁项目由各市（州）、扩权县交通运输局审批，其中村道及小桥涵设计由县级交通运输局审批。”</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建设工程质量管理条例》第十一条：建设单位应当将施工图设计文件报县级以上人民政府建设行政主管部门或者其他有关部门审查。施工图设计文件审查的具体办法，由国务院建设行政主管部门会同国务院其他有关部门制定。 施工图设计文件未经审查批准的，不得使用。</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 《四川省建设工程勘察设计管理条例》第十二条：“国家及省重点建设项目、政府出资的项目和有特殊规定的建设项目，应按审批权限报建设行政主管部门或交通、水利等有关部门进行初步设计审查。其他项目的工程勘察设计文件，建设行政主管部门或交通、水利等有关部门应对其涉及工程建设强制性标准等进行技术审查”。</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表2-27</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公路建设施工许可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行政许可法》第十二条：下列事项可以设定行政许可：（一）直接涉及国家安全、公共安全、经济宏观调控、生态环境保护以及直接关系人身健康、生命财产安全等特定活动，需要按照法定条件予以批准的事项。</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2.《中华人民共和国公路法》第二十二条“公路建设应当按照国家规定的基本建设程序和有关规定进行”第二十六条“公路建设必须符合公路工程技术标准”。</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公路建设市场管理办法》（2015年交通运输部第11号）第十六条：“公路建设项目法人必须严格执行国家规定的基本建设程序，不得违反或者擅自简化基本建设程序”，第十七条：“公路建设项目法人负责组织有关专家或者委托有相应工程咨询或者设计资质的单位，对施工图设计文件进行审查”第十八条：“公路建设项目法人应当按照项目管理隶属关系将施工图设计文件报交通运输主管部门审批。施工图设计文件未经审批的，不得使用。”第十九条：“申请施工图设计文件审批应当向相关的交通运输主管部门提交以下材料：（一）施工图设计的全套文件；（二）专家或者委托的审查单位对施工图设计文件的审查意见；（三）项目法人认为需要提交的其他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表2-28</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公路建设项目竣工验收审批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1.《中华人民共和国公路法》第三十三条：公路建设项目和公路修复项目竣工后，应当按照国家有关规定进行验收；未经验收或者验收不合格的，不得交付使用。</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公路工程竣（交）工验收办法》第十七条：公路工程符合竣工验收条件后，项目法人应按照项目管理权限及时向交通主管部门申请验收。交通主管部门应当自收到申请之日起30日内，对申请人递交的材料进行审查，对于不符合竣工验收条件的，应当及时退回并告知理由；对于符合验收条件的，应自收到申请文件之日起3个月内组织竣工验收。</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表2-29</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客运线路许可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1.《道路旅客运输及客运站管理规定》第十条、第十九条：申请从事道路客运经营的，应当具备下列条件： （一）有与其经营业务相适应并经检测合格的客车： 1.客车技术要求应当符合《道路运输车辆技术管理规定》有关规定。 2.客车类型等级要求： 从事高速公路客运、旅游客运和营运线路长度在800公里以上的客运车辆，其车辆类型等级应当达到行业标准《营运客车类型划分及等级评定》（JT/T325）规定的中级以上。 3.客车数量要求： （1）经营一类客运班线的班车客运经营者应当自有营运客车100辆以上、客位3000个以上，其中高级客车在30辆以上、客位900个以上；或者自有高级营运客车40辆以上、客位1200个以上； （2）经营二类客运班线的班车客运经营者应当自有营运客车50辆以上、客位1500个以上，其中中高级客车在15辆以上、客位450个以上；或者自有高级营运客车20辆以上、客位600个以上； （3）经营三类客运班线的班车客运经营者应当自有营运客车10辆以上、客位200个以上； （4）经营四类客运班线的班车客运经营者应当自有营运客车1辆以上； （5）经营省际包车客运的经营者，应当自有中高级营运客车20辆以上、客位600个以上； （6）经营省内包车客运的经营者，应当自有营运客车5辆以上、客位100个以上。 （二）从事客运经营的驾驶人员，应当符合《道路运输从业人员管理规定》有关规定。 （三）有健全的安全生产管理制度，包括安全生产操作规程、安全生产责任制、安全生产监督检查、驾驶人员和车辆安全生产管理的制度。 （四）申请从事道路客运班线经营，还应当有明确的线路和站点方案；道路运输管理机构对符合法定条件的道路客运班线经营申请作出准予行政许可决定的，应当出具《道路客运班线经营行政许可决定书》（见附件5），明确许可事项，许可事项为经营主体、班车类别、起讫地、途经路线及停靠站点、日发班次、车辆数量及要求、经营期限，其中对成立线路公司的道路客运班线或者实行区域经营的，其停靠站点及日发班次可以由其经营者自行决定，并告知原许可机关；并在10日内向被许可人发放《道路客运班线经营许可证明》（见附件8），告知班线起讫地道路运输管理机构；属于跨省客运班线的，应当将《道路客运班线经营行政许可决定书》抄告途经上下旅客的和终到的省级道路运输管理机构。</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2.《中华人民共和国道路运输条例》第十一条：取得道路运输经营许可证的客运经营者，需要增加客运班线的，应当依照本条例第十条的规定办理有关手续。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表2-30</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pStyle w:val="19"/>
              <w:spacing w:line="360" w:lineRule="exact"/>
              <w:ind w:firstLine="420" w:firstLineChars="200"/>
              <w:jc w:val="center"/>
              <w:rPr>
                <w:rFonts w:ascii="Times New Roman" w:hAnsi="Times New Roman" w:eastAsiaTheme="minorEastAsia"/>
                <w:sz w:val="21"/>
                <w:szCs w:val="21"/>
              </w:rPr>
            </w:pPr>
            <w:r>
              <w:rPr>
                <w:rFonts w:hint="eastAsia" w:ascii="Times New Roman" w:hAnsi="Times New Roman" w:cs="Times New Roman" w:eastAsiaTheme="minorEastAsia"/>
                <w:kern w:val="2"/>
                <w:sz w:val="21"/>
                <w:szCs w:val="21"/>
              </w:rPr>
              <w:t>港口的危险货物作业场所、实施卫生除害处理的专用场所的审批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港口法》第十七条：港口的危险货物作业场所、实施卫生除害处理的专用场所，应当符合港口总体规划和国家有关安全生产、消防、检验检疫和环境保护的要求，其与人口密集区和港口客运设施的距离应当符合国务院有关部门的规定;经依法办理有关手续，并经港口行政管理部门批准后，方可建设。</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港口危险货物管理规定》第六条：新建、改建、扩建危险货物作业码头、库场、储罐、锚地等港口设施，应当符合港口总体规划和国家有关建造规范和标准，经所在地港口行政管理部门批准后，按照国家有关基本建设程序办理审批手续。</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r>
              <w:rPr>
                <w:rFonts w:ascii="Times New Roman" w:hAnsi="Times New Roman" w:cs="方正仿宋简体" w:eastAsiaTheme="minorEastAsia"/>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表2-31</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船舶设计图纸审批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1.《中华人民共和国船舶和海上设施检验条例》第十九条：船舶、海上设施、集装箱的检验制度和技术规范，除本条例第三十一条规定的外，由船检局制订，经国务院交通主管部门批准后公布施行。</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2.《中华人民共和国内河交通安全管理条例》第六条：船舶具备下列条件，方可航行：（一）经海事管理机构认可的船舶检验机构依法检验并持有合格的船舶检验证书。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表2-32</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危险货物水上过驳作业审批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6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港口法》（2017年最新修订版）第三十五条：在港口内进行危险货物的装卸、过驳作业，应当按照国务院交通主管部门的规定将危险货物的名称、特性、包装和作业的时间、地点报告港口行政管理部门。港口行政管理部门接到报告后，应当在国务院交通主管部门规定的时间内作出是否同意的决定，通知报告人，并通报海事管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表2-33</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载运危险货物船舶许可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《中华人民共和国海上交通安全法》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r>
              <w:rPr>
                <w:rFonts w:ascii="Times New Roman" w:hAnsi="Times New Roman" w:cs="方正仿宋简体" w:eastAsiaTheme="minorEastAsia"/>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表2-34</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船舶检验审批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1.《中华人民共和国船舶和海上设施检验条例》第七条中国籍船舶的所有人或者经营人，必须向船舶检验机构申请下列检验：</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2.《中华人民共和国内河交通安全管理条例》第六条：船舶具备下列条件，方可航行：（一）经海事管理机构认可的船舶检验机构依法检验并持有合格的船舶检验证书。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表2-35</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网络预约出租汽车经营许可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1.《国务院对确需保留的行政审批项目设定行政许可的决定》附件第112项：出租汽车经营资格证、车辆运营证和驾驶员客运资格证核发</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网络预约出租汽车经营服务管理暂行办法》第六条、第七条：申请从事网约车经营的，应当根据经营区域向相应的出租汽车行政主管部门提出申请，并提交以下材料：（一）网络预约出租汽车经营申请表（见附件）；（二）投资人、负责人身份、资信证明及其复印件，经办人的身份证明及其复印件和委托书； 　　（三）企业法人营业执照，属于分支机构的还应当提交营业执照，外商投资企业还应当提供外商投资企业批准证书；（四）服务所在地办公场所、负责人员和管理人员等信息；（五）具备互联网平台和信息数据交互及处理能力的证明材料，具备供交通、通信、公安、税务、网信等相关监管部门依法调取查询相关网络数据信息条件的证明材料，数据库接入情况说明，服务器设置在中国内地的情况说明，依法建立并落实网络安全管理制度和安全保护技术措施的证明材料；（六）使用电子支付的，应当提供与银行、非银行支付机构签订的支付结算服务协议；（七）经营管理制度、安全生产管理制度和服务质量保障制度文本；（八）法律法规要求提供的其他材料。首次从事网约车经营的，应当向企业注册地相应出租汽车行政主管部门提出申请，前款第（五）、第（六）项有关线上服务能力材料由网约车平台公司注册地省级交通运输主管部门商同级通信、公安、税务、网信、人民银行等部门审核认定，并提供相应认定结果，认定结果全国有效。网约车平台公司在注册地以外申请从事网约车经营的，应当提交前款第（五）、第（六）项有关线上服务能力认定结果。其他线下服务能力材料，由受理申请的出租汽车行政主管部门进行审核；出租汽车行政主管部门应当自受理之日起20日内作出许可或者不予许可的决定。20日内不能作出决定的，经实施机关负责人批准，可以延长10日，并应当将延长期限的理由告知申请人。</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网络预约出租汽车经营服务管理暂行办法》第七条：出租汽车行政主管部门应当自受理之日起20日内作出许可或者不予许可的决定。20日内不能作出决定的，经实施机关负责人批准，可以延长10日，并应当将延长期限的理由告知申请人。第八条：出租汽车行政主管部门对于网约车经营申请作出行政许可决定的，应当明确经营范围、经营区域、经营期限等，并发放《网络预约出租汽车经营许可证》。第九条：出租汽车行政主管部门对不符合规定条件的申请作出不予行政许可决定的，应当向申请人出具《不予行政许可决定书》。</w:t>
            </w:r>
            <w:r>
              <w:rPr>
                <w:rFonts w:ascii="Times New Roman" w:hAnsi="Times New Roman" w:cs="方正仿宋简体" w:eastAsiaTheme="minorEastAsia"/>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表2-36</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货运专用运输（集装箱、冷藏保鲜）大型物件运输（四类）经营许可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 《中华人民共和国道路运输条例》第二十二条：从事货运经营的驾驶人员，应当符合下列条件：(一)取得相应的机动车驾驶证;(二)年龄不超过60周岁;(三)经设区的市级道路运输管理机构对有关货运法律法规、机动车维修和货物装载保管基本知识考试合格；第二十四条：申请从事货运经营的，应当按照下列规定提出申请并分别提交符合本条例第二十一条、第二十三条规定条件的相关材料：(一)从事危险货物运输经营以外的货运经营的，向县级道路运输管理机构提出申请;(二)从事危险货物运输经营的，向设区的市级道路运输管理机构提出申请。依照前款规定收到申请的道路运输管理机构，应当自受理申请之日起20日内审查完毕，作出许可或者不予许可的决定。予以许可的，向申请人颁发道路运输经营许可证，并向申请人投入运输的车辆配发车辆营运证;不予许可的，应当书面通知申请人并说明理由。货运经营者应当持道路运输经营许可证依法向工商行政管理机关办理有关登记手续；第二十六条：国家鼓励货运经营者实行封闭式运输，保证环境卫生和货物运输安全。货运经营者应当采取必要措施，防止货物脱落、扬撒等。运输危险货物应当采取必要措施，防止危险货物燃烧、爆炸、辐射、泄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表2-37</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夜间施工许可证核发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环境噪声污染防治法》第三十条：“在城市市区噪声敏感建筑物集中区域内，禁止夜间进行产生环境噪声污染的建筑施工作业，但抢修、抢险作业和因生产工艺上要求或者特殊需要必须连续作业的除外。因特殊需要必须连续作业的，必须有县级以上人民政府或者其有关主管部门的证明。前款规定的夜间作业，必须公告附近居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r>
              <w:rPr>
                <w:rFonts w:ascii="Times New Roman" w:hAnsi="Times New Roman" w:cs="方正仿宋简体" w:eastAsiaTheme="minorEastAsia"/>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表2-38</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建筑工程施工许可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建筑法》第七条：建筑工程开工前，建设单位应当按照国家有关规定向工程所在地县级以上人民政府建设行政主管部门申请领取施工许可证；但是，国务院建设行政主管部门确定的限额以下的小型工程除外。按照国务院规定的权限和程序批准开工报告的建筑工程，不再领取施工许可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建筑工程施工许可管理办法》第二条：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按照国务院规定的权限和程序批准开工报告的建筑工程，不再领取施工许可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3.《四川省建筑管理条例》第十三条：新建、扩建、改建工程，由建设单位，向县以上人民政府建设行政主管部门申请办理建设工程开工审批和施工许可证。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住房和城乡建设部办公厅关于调整四川省房屋建筑和市政基础设施工程施工许可证办理限额意见的函》第二款：工程投资额在100万元以下（含100万元）或者建筑面积在500平方米以下（含500平方米）的房屋建筑和市政基础设施工程，可以不申请办理施工许可证。</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建筑工程施工许可管理办法》第五条申请办理施工许可证，应当按照下列程序进行：(一)建设单位向发证机关领取《建筑工程施工许可证申请表》。(二)建设单位持加盖单位及法定代表人印鉴的《建筑工程施工许可证申请表》，并附本办法第四条规定的证明文件，向发证机关提出申请。(三)发证机关在收到建设单位报送的《建筑工程施工许可证申请表》和所附证明文件后，对于符合条件的，应当自收到申请之日起七日内颁发施工许可证;对于证明文件不齐全或者失效的，应当当场或者五日内一次告知建设单位需要补正的全部内容，审批时间可以自证明文件补正齐全后作相应顺延;对于不符合条件的，应当自收到申请之日起七日内书面通知建设单位，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表2-39</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建筑工程竣工验收备案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建设工程质量管理条例》第四十九条：建设单位应当自建设工程竣工验收合格之日起15日内，将建设工程竣工验收报告和规划、公安消防、环保等部门出具的认可文件或者准许使用文件报建设行政主管部门或者其他有关部门备案。</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房屋建筑和市政基础设施工程竣工验收备案管理办法》第四条：建设单位应当自工程竣工验收合格之日起15日内，依照本办法规定，向工程所在地的县级以上地方人民政府建设主管部门（以下简称备案机关）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房屋建筑和市政基础设施工程竣工验收备案管理办法》第六条：备案机关收到建设单位报送的竣工验收备案文件，验证文件齐全后，应当在工程竣工验收备案表上签署文件收讫。工程竣工验收备案表一式两份，一份由建设单位保存，一份留备案机关存档。第九条：建设单位在工程竣工验收合格之日起15日内未办理工程竣工验收备案的，备案机关责令限期改正，处20万元以上50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表2-40</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房屋建筑工程并联验收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jc w:val="center"/>
              <w:rPr>
                <w:rFonts w:ascii="Times New Roman" w:hAnsi="Times New Roman" w:eastAsiaTheme="minorEastAsia"/>
                <w:szCs w:val="21"/>
              </w:rPr>
            </w:pPr>
            <w:r>
              <w:rPr>
                <w:rFonts w:hint="eastAsia" w:ascii="Times New Roman" w:hAnsi="Times New Roman" w:eastAsiaTheme="minorEastAsia"/>
                <w:szCs w:val="21"/>
              </w:rPr>
              <w:t>《成都市人民政府关于印发&lt;成都市建设项目并联审批工作方案&gt;的通知》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7.《成都市人民政府关于印发&lt;成都市建设项目并联审批工作方案&gt;的通知》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表2-41</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拆除防空警报批准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1.《中华人民共和国人民防空法》第三十五条：设置在有关单位的人民防空警报设施，由其所在单位维护管理，不得擅自拆除。</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2.四川省〈中华人民共和国人民防空法〉实施办法第二十条：拆除警报设施必须经人民防空主管部门批准，由拆除单位补建。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表2-42</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危害地震监测设施和地震观测环境建设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防震减灾法》第二十四条：“新建、扩建、改建建设工程，应当避免对地震监测设施和地震观测环境造成危害。建设国家重点工程，确实无法避免对地震监测设施和地震观测环境造成危害的，建设单位应当按照县级以上地方人民政府负责管理地震工作的部门或者机构的要求，增建抗干扰设施；不能增建抗干扰设施的，应当新建地震监测设施。对地震观测环境保护范围内的建设工程项目，城乡规划主管部门在依法核发选址意见书时，应当征求负责管理地震工作的部门或者机构的意见；不需要核发选址意见书的，城乡规划主管部门在依法核发建设用地规划许可证或者乡村建设规划许可证时，应当征求负责管理地震工作的部门或者机构的意见。地震监测设施，是指用于地震信息检测、传输和处理的设备、仪器和装置以及配套的监测场地。地震观测环境，是指按照国家有关标准划定的保障地震监测设施不受干扰、能够正常发挥工作效能的空间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3.《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4.《中华人民共和国行政许可法》第四十条：“行政机关作出准予行政许可的决定，应当予以公开，公众有权查阅。”</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5.《中华人民共和国行政许可法》第四十四条：“行政机关作出准予行政许可的决定，应当自作出决定之日起十日内向申请人颁发、送达行政许可证件，或者加贴标签、加盖检验、检测、检疫印章。”</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表2-43</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pStyle w:val="19"/>
              <w:spacing w:line="360" w:lineRule="exact"/>
              <w:ind w:left="554" w:right="545"/>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序号</w:t>
            </w:r>
          </w:p>
        </w:tc>
        <w:tc>
          <w:tcPr>
            <w:tcW w:w="6946" w:type="dxa"/>
          </w:tcPr>
          <w:p>
            <w:pPr>
              <w:pStyle w:val="19"/>
              <w:spacing w:line="360" w:lineRule="exact"/>
              <w:ind w:firstLine="420" w:firstLineChars="200"/>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权力事项类型</w:t>
            </w:r>
          </w:p>
        </w:tc>
        <w:tc>
          <w:tcPr>
            <w:tcW w:w="6946" w:type="dxa"/>
          </w:tcPr>
          <w:p>
            <w:pPr>
              <w:pStyle w:val="19"/>
              <w:spacing w:line="360" w:lineRule="exact"/>
              <w:ind w:firstLine="420" w:firstLineChars="200"/>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权力项目名称</w:t>
            </w:r>
          </w:p>
        </w:tc>
        <w:tc>
          <w:tcPr>
            <w:tcW w:w="6946" w:type="dxa"/>
          </w:tcPr>
          <w:p>
            <w:pPr>
              <w:pStyle w:val="19"/>
              <w:spacing w:line="360" w:lineRule="exact"/>
              <w:ind w:firstLine="420" w:firstLineChars="200"/>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房屋结构安全审批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9" w:type="dxa"/>
            <w:vAlign w:val="center"/>
          </w:tcPr>
          <w:p>
            <w:pPr>
              <w:spacing w:line="360" w:lineRule="exact"/>
              <w:ind w:firstLine="420" w:firstLineChars="200"/>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实施依据</w:t>
            </w:r>
          </w:p>
        </w:tc>
        <w:tc>
          <w:tcPr>
            <w:tcW w:w="6946" w:type="dxa"/>
          </w:tcPr>
          <w:p>
            <w:pPr>
              <w:pStyle w:val="19"/>
              <w:spacing w:line="360" w:lineRule="exact"/>
              <w:ind w:firstLine="420" w:firstLineChars="200"/>
              <w:jc w:val="both"/>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sz w:val="21"/>
                <w:szCs w:val="21"/>
              </w:rPr>
              <w:t>《成都市房屋使用安全管理条例》（成人发〔2015〕）32号）</w:t>
            </w:r>
            <w:r>
              <w:rPr>
                <w:rFonts w:ascii="Times New Roman" w:hAnsi="Times New Roman" w:cs="方正仿宋简体" w:eastAsiaTheme="minorEastAsia"/>
                <w:sz w:val="21"/>
                <w:szCs w:val="21"/>
              </w:rPr>
              <w:t>第二十七条 实施房屋装修、改造和维修加固有下列情形之一的，应当向房屋所在地的区(市)县房产行政管理部门提出书面申请，经批准取得《房屋结构安全批准书》后方可实施:(一)拆改房屋结构;(二)增加夹层;(三)其他可能影响房屋整体性、抗震性和结构安全的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spacing w:line="360" w:lineRule="exact"/>
              <w:ind w:firstLine="420" w:firstLineChars="200"/>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责任主体</w:t>
            </w:r>
          </w:p>
        </w:tc>
        <w:tc>
          <w:tcPr>
            <w:tcW w:w="6946" w:type="dxa"/>
          </w:tcPr>
          <w:p>
            <w:pPr>
              <w:pStyle w:val="19"/>
              <w:spacing w:line="360" w:lineRule="exact"/>
              <w:ind w:firstLine="420" w:firstLineChars="200"/>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spacing w:line="360" w:lineRule="exact"/>
              <w:ind w:firstLine="420" w:firstLineChars="200"/>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责任事项</w:t>
            </w:r>
          </w:p>
        </w:tc>
        <w:tc>
          <w:tcPr>
            <w:tcW w:w="6946"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责任事项依据</w:t>
            </w:r>
          </w:p>
        </w:tc>
        <w:tc>
          <w:tcPr>
            <w:tcW w:w="6946"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color w:val="000000"/>
                <w:sz w:val="21"/>
                <w:szCs w:val="21"/>
              </w:rPr>
              <w:t>7.《成都市房屋使用安全管理条例》</w:t>
            </w:r>
            <w:r>
              <w:rPr>
                <w:rFonts w:ascii="Times New Roman" w:hAnsi="Times New Roman" w:cs="方正仿宋简体" w:eastAsiaTheme="minorEastAsia"/>
                <w:sz w:val="21"/>
                <w:szCs w:val="21"/>
              </w:rPr>
              <w:t>第二十九条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房产行政管理部门应当自收到房屋结构安全批准申请之日起五日内作出是否批准的决定。符合条件的，应当颁发《房屋结构安全批准书》;不符合条件的，应当书面说明理由。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9"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追责情形</w:t>
            </w:r>
          </w:p>
        </w:tc>
        <w:tc>
          <w:tcPr>
            <w:tcW w:w="6946"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809"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监督电话</w:t>
            </w:r>
          </w:p>
        </w:tc>
        <w:tc>
          <w:tcPr>
            <w:tcW w:w="6946" w:type="dxa"/>
            <w:vAlign w:val="center"/>
          </w:tcPr>
          <w:p>
            <w:pPr>
              <w:pStyle w:val="19"/>
              <w:spacing w:line="360" w:lineRule="exact"/>
              <w:ind w:left="108" w:firstLine="420" w:firstLineChars="200"/>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80" w:firstLineChars="200"/>
        <w:rPr>
          <w:rFonts w:ascii="Times New Roman" w:hAnsi="Times New Roman"/>
          <w:sz w:val="24"/>
        </w:rPr>
      </w:pPr>
    </w:p>
    <w:p>
      <w:pPr>
        <w:widowControl/>
        <w:spacing w:line="360" w:lineRule="exact"/>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表2-44</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烟花爆竹经营（零售）许可证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烟花爆竹安全管理条例》第三条、第五条、第十九条；“县级人民政府安全生产监督管理部门（以下简称县级安全监管局，与市级安全监管局统称发证机关）负责本行政区域内零售经营布点规划与零售许可证的颁发和管理工作。”；“从事烟花爆竹批发的企业（以下简称批发企业）和从事烟花爆竹零售的经营者（以下简称零售经营者）应当按照本办法的规定，分别取得《烟花爆竹经营（批发）许可证》（以下简称批发许可证）和《烟花爆竹经营（零售）许可证》（以下简称零售许可证）；第三款未取得烟花爆竹经营许可证的，任何单位或者个人不得从事烟花爆竹经营活动;”；“申请从事烟花爆竹零售的经营者，应当向所在地县级人民政府安全生产监督管理部门提出申请，并提供能够证明符合本条例第十八条规定条件的有关材料。受理申请的安全生产监督管理部门应当自受理申请之日起20日内对提交的有关材料和经营场所进行审查，对符合条件的，核发《烟花爆竹经营（零售）许可证》；对不符合条件的，应当说明理由；”</w:t>
            </w:r>
          </w:p>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2.《烟花爆竹经营许可实施办法》第十六条、第二十一条：零售经营者应当符合下列条件：（一）符合所在地县级安全监管局制定的零售经营布点规划；（二）主要负责人经过安全培训合格，销售人员经过安全知识教育；（三）春节期间零售点、城市长期零售点实行专店销售。乡村长期零售点在淡季实行专柜销售时，安排专人销售，专柜相对独立，并与其他柜台保持一定的距离，保证安全通道畅通；（四）零售场所的面积不小于 10 平方米，其周边 50 米范围内没有其他烟花爆竹零售点，并与学校、幼儿园、医院、集贸市场等人员密集场所和加油站等易燃易爆物品生产、储存设施等重点建筑物保持 100 米以上的安全距离；（五）零售场所配备必要的消防器材，张贴明显的安全警示标志；（六）法律、法规规定的其他条件；零售许可证的有效期限由发证机关确定，最长不超过 2 年。零售许可证有效期满后拟继续从事烟花爆竹零售经营活动，或者在有效期内变更零售点名称、主要负责人、零售场所和许可范围的，应当重新申请取得零售许可证。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责任主体</w:t>
            </w:r>
          </w:p>
        </w:tc>
        <w:tc>
          <w:tcPr>
            <w:tcW w:w="7087" w:type="dxa"/>
          </w:tcPr>
          <w:p>
            <w:pPr>
              <w:pStyle w:val="19"/>
              <w:spacing w:line="360" w:lineRule="exact"/>
              <w:ind w:firstLine="420" w:firstLineChars="200"/>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pStyle w:val="19"/>
              <w:spacing w:before="14" w:line="360" w:lineRule="exact"/>
              <w:ind w:firstLine="420" w:firstLineChars="200"/>
              <w:jc w:val="center"/>
              <w:textAlignment w:val="center"/>
              <w:rPr>
                <w:rFonts w:ascii="Times New Roman" w:hAnsi="Times New Roman" w:eastAsiaTheme="minorEastAsia"/>
                <w:sz w:val="21"/>
                <w:szCs w:val="21"/>
              </w:rPr>
            </w:pPr>
          </w:p>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kern w:val="0"/>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jc w:val="left"/>
        <w:rPr>
          <w:rFonts w:ascii="Times New Roman" w:hAnsi="Times New Roman"/>
          <w:sz w:val="24"/>
        </w:rPr>
      </w:pPr>
    </w:p>
    <w:p>
      <w:pPr>
        <w:widowControl/>
        <w:spacing w:line="360" w:lineRule="exact"/>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表2-45</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第三类非药品类易制毒化学品经营备案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易制毒化学品管理条例》第二条、第十三条：国家对易制毒化学品的生产、经营、购买、运输和进口、出口实行分类管理和许可制度；生产第二类、第三类易制毒化学品的，应当自生产之日起30日内，将生产的品种、数量等情况，向所在地的设区的市级人民政府安全生产监督管理部门备案。经营第三类易制毒化学品的，应当自经营之日起30日内，将经营的品种、数量、主要流向等情况，向所在地的县级人民政府安全生产监督管理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7．《易制毒化学品管理条例》第二条、第十三条：国家对易制毒化学品的生产、经营、购买、运输和进口、出口实行分类管理和许可制度；生产第二类、第三类易制毒化学品的，应当自生产之日起30日内，将生产的品种、数量等情况，向所在地的设区的市级人民政府安全生产监督管理部门备案。经营第三类易制毒化学品的，应当自经营之日起30日内，将经营的品种、数量、主要流向等情况，向所在地的县级人民政府安全生产监督管理部门备案。前两款规定的行政主管部门应当于收到备案材料的当日发给备案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firstLine="480" w:firstLineChars="200"/>
        <w:rPr>
          <w:rFonts w:ascii="Times New Roman" w:hAnsi="Times New Roman"/>
          <w:sz w:val="24"/>
        </w:rPr>
      </w:pPr>
    </w:p>
    <w:p>
      <w:pPr>
        <w:spacing w:before="8" w:line="360" w:lineRule="exact"/>
        <w:ind w:firstLine="480" w:firstLineChars="200"/>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表2-46</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危险化学品经营许可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中华人民共和国安全生产法》第六十条：“负有安全生产监督管理职责的部门依照有关法律、法规的规定，对涉及安全生产的事项需要审查批准(包括批准、核准、许可、注册、认证、颁发证照等，下同)或者验收的，必须严格依照有关法律、法规和国家标准或者行业标准规定的安全生产条件和程序进行审查;不符合有关法律、法规和国家标准或者行业标准规定的安全生产条件的，不得批准或者验收通过。对未依法取得批准或者验收合格的单位擅自从事有关活动的，负责行政审批的部门发现或者接到举报后应当立即予以取缔，并依法予以处理。对已经依法取得批准的单位，负责行政审批的部门发现其不再具备安全生产条件的，应当撤销原批准。”</w:t>
            </w:r>
          </w:p>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2.</w:t>
            </w:r>
            <w:r>
              <w:fldChar w:fldCharType="begin"/>
            </w:r>
            <w:r>
              <w:instrText xml:space="preserve"> HYPERLINK "http://www.sc.gov.cn/10462/zcwjk/zcwjk.shtml?title=%E3%80%8A%E5%8D%B1%E9%99%A9%E5%8C%96%E5%AD%A6%E5%93%81%E5%AE%89%E5%85%A8%E7%AE%A1%E7%90%86%E6%9D%A1%E4%BE%8B%E3%80%8B" \t "_blank" </w:instrText>
            </w:r>
            <w:r>
              <w:fldChar w:fldCharType="separate"/>
            </w:r>
            <w:r>
              <w:rPr>
                <w:rFonts w:hint="eastAsia" w:ascii="Times New Roman" w:hAnsi="Times New Roman" w:cs="方正仿宋简体" w:eastAsiaTheme="minorEastAsia"/>
                <w:sz w:val="21"/>
                <w:szCs w:val="21"/>
              </w:rPr>
              <w:t>《危险化学品安全管理条例》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三十三条、第三十五条：“国家对危险化学品经营（包括仓储经营，下同）实行许可制度。未经许可，任何单位和个人不得经营危险化学品。依法设立的危险化学品生产企业在其厂区范围内销售本企业生产的危险化学品，不需要取得危险化学品经营许可。依照《中华人民共和国港口法》的规定取得港口经营许可证的港口经营人，在港区内从事危险化学品仓储经营，不需要取得危险化学品经营许可；”；“从事剧毒化学品、易制爆危险化学品经营的企业，应当向所在地设区的市级人民政府安全生产监督管理部门提出申请，从事其他危险化学品经营的企业，应当向所在地县级人民政府安全生产监督管理部门提出申请（有储存设施的，应当向所在地设区的市级人民政府安全生产监督管理部门提出申请）。申请人应当提交其符合本条例第三十四条规定的证明材料。设区的市级人民政府安全生产监督管理部门或者县级人民政府安全生产监督管理部门应当依法进行审查，并对申请人的经营场所、储存设施进行现场核查，自收到证明材料之日起30日内做出批准或不予批准的决定。予以批准的，颁发危险化学品经营许可证；不予批准的，书面通知申请人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p>
            <w:pPr>
              <w:pStyle w:val="19"/>
              <w:spacing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7．</w:t>
            </w:r>
            <w:r>
              <w:fldChar w:fldCharType="begin"/>
            </w:r>
            <w:r>
              <w:instrText xml:space="preserve"> HYPERLINK "http://www.sc.gov.cn/10462/zcwjk/zcwjk.shtml?title=%E3%80%8A%E5%8D%B1%E9%99%A9%E5%8C%96%E5%AD%A6%E5%93%81%E5%AE%89%E5%85%A8%E7%AE%A1%E7%90%86%E6%9D%A1%E4%BE%8B%E3%80%8B" \t "_blank" </w:instrText>
            </w:r>
            <w:r>
              <w:fldChar w:fldCharType="separate"/>
            </w:r>
            <w:r>
              <w:rPr>
                <w:rFonts w:hint="eastAsia" w:ascii="Times New Roman" w:hAnsi="Times New Roman" w:cs="方正仿宋简体" w:eastAsiaTheme="minorEastAsia"/>
                <w:sz w:val="21"/>
                <w:szCs w:val="21"/>
              </w:rPr>
              <w:t>《危险化学品安全管理条例》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三十五条：从事剧毒化学品、易制爆危险化学品经营的企业，应当向所在地设区的市级人民政府安全生产监督管理部门提出申请，从事其他危险化学品经营的企业，应当向所在地县级人民政府安全生产监督管理部门提出申请</w:t>
            </w:r>
            <w:r>
              <w:rPr>
                <w:rFonts w:ascii="Times New Roman" w:hAnsi="Times New Roman" w:cs="方正仿宋简体" w:eastAsiaTheme="minorEastAsia"/>
                <w:sz w:val="21"/>
                <w:szCs w:val="21"/>
              </w:rPr>
              <w:t>(</w:t>
            </w:r>
            <w:r>
              <w:rPr>
                <w:rFonts w:hint="eastAsia" w:ascii="Times New Roman" w:hAnsi="Times New Roman" w:cs="方正仿宋简体" w:eastAsiaTheme="minorEastAsia"/>
                <w:sz w:val="21"/>
                <w:szCs w:val="21"/>
              </w:rPr>
              <w:t>有储存设施的，应当向所在地设区的市级人民政府安全生产监督管理部门提出申请</w:t>
            </w:r>
            <w:r>
              <w:rPr>
                <w:rFonts w:ascii="Times New Roman" w:hAnsi="Times New Roman" w:cs="方正仿宋简体" w:eastAsiaTheme="minorEastAsia"/>
                <w:sz w:val="21"/>
                <w:szCs w:val="21"/>
              </w:rPr>
              <w:t>)</w:t>
            </w:r>
            <w:r>
              <w:rPr>
                <w:rFonts w:hint="eastAsia" w:ascii="Times New Roman" w:hAnsi="Times New Roman" w:cs="方正仿宋简体" w:eastAsiaTheme="minorEastAsia"/>
                <w:sz w:val="21"/>
                <w:szCs w:val="21"/>
              </w:rPr>
              <w:t>。申请人应当提交其符合本条例第三十四条规定条件的证明材料。设区的市级人民政府安全生产监督管理部门或者县级人民政府安全生产监督管理部门应当依法进行审查，并对申请人的经营场所、储存设施进行现场核查，自收到证明材料之日起</w:t>
            </w:r>
            <w:r>
              <w:rPr>
                <w:rFonts w:ascii="Times New Roman" w:hAnsi="Times New Roman" w:cs="方正仿宋简体" w:eastAsiaTheme="minorEastAsia"/>
                <w:sz w:val="21"/>
                <w:szCs w:val="21"/>
              </w:rPr>
              <w:t>30</w:t>
            </w:r>
            <w:r>
              <w:rPr>
                <w:rFonts w:hint="eastAsia" w:ascii="Times New Roman" w:hAnsi="Times New Roman" w:cs="方正仿宋简体" w:eastAsiaTheme="minorEastAsia"/>
                <w:sz w:val="21"/>
                <w:szCs w:val="21"/>
              </w:rPr>
              <w:t>日内作出批准或者不予批准的决定。予以批准的，颁发危险化学品经营许可证</w:t>
            </w:r>
            <w:r>
              <w:rPr>
                <w:rFonts w:ascii="Times New Roman" w:hAnsi="Times New Roman" w:cs="方正仿宋简体" w:eastAsiaTheme="minorEastAsia"/>
                <w:sz w:val="21"/>
                <w:szCs w:val="21"/>
              </w:rPr>
              <w:t>;</w:t>
            </w:r>
            <w:r>
              <w:rPr>
                <w:rFonts w:hint="eastAsia" w:ascii="Times New Roman" w:hAnsi="Times New Roman" w:cs="方正仿宋简体" w:eastAsiaTheme="minorEastAsia"/>
                <w:sz w:val="21"/>
                <w:szCs w:val="21"/>
              </w:rPr>
              <w:t>不予批准的，书面通知申请人并说明理由。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firstLine="480" w:firstLineChars="200"/>
        <w:rPr>
          <w:rFonts w:ascii="Times New Roman" w:hAnsi="Times New Roman"/>
          <w:sz w:val="24"/>
        </w:rPr>
      </w:pPr>
    </w:p>
    <w:p>
      <w:pPr>
        <w:spacing w:before="8" w:line="360" w:lineRule="exact"/>
        <w:ind w:firstLine="480" w:firstLineChars="200"/>
        <w:rPr>
          <w:rFonts w:ascii="Times New Roman" w:hAnsi="Times New Roman"/>
          <w:sz w:val="24"/>
        </w:rPr>
      </w:pPr>
    </w:p>
    <w:p>
      <w:pPr>
        <w:spacing w:before="8" w:line="360" w:lineRule="exact"/>
        <w:ind w:firstLine="480" w:firstLineChars="200"/>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表2-47</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环境卫生设施拆迁初审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0"/>
              <w:shd w:val="clear" w:color="auto" w:fill="FFFFFF"/>
              <w:spacing w:before="0" w:beforeAutospacing="0" w:after="225" w:afterAutospacing="0"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1.《城市市容和环境卫生管理条例》</w:t>
            </w:r>
            <w:r>
              <w:rPr>
                <w:rFonts w:ascii="Times New Roman" w:hAnsi="Times New Roman" w:cs="方正仿宋简体" w:eastAsiaTheme="minorEastAsia"/>
                <w:sz w:val="21"/>
                <w:szCs w:val="21"/>
              </w:rPr>
              <w:t>第二十条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城市人民政府市容环境卫生行政主管部门，应当根据城市居住人口密度和流动人口数量以及公共场所等特定地区的需要，制定公共厕所建设规划，并按照规定的标准，建设、改造或者支持有关单位建设、改造公共厕所。城市人民政府市容环境卫生行政主管部门，应当配备专业人员或者委托有关单位和个人负责公共厕所的保洁和管理;有关单位和个人也可以承包公共厕所的保洁和管理。公共厕所的管理者可以适当收费，具体办法由省、自治区、直辖市人民政府制定。对不符合规定标准的公共厕所，城市人民政府应当责令有关单位限期改造。公共厕所的粪便应当排入贮(化)粪池或者城市污水系统</w:t>
            </w:r>
            <w:r>
              <w:rPr>
                <w:rFonts w:hint="eastAsia" w:ascii="Times New Roman" w:hAnsi="Times New Roman" w:cs="方正仿宋简体" w:eastAsiaTheme="minorEastAsia"/>
                <w:sz w:val="21"/>
                <w:szCs w:val="21"/>
              </w:rPr>
              <w:t>；第二十二条：</w:t>
            </w:r>
            <w:r>
              <w:rPr>
                <w:rFonts w:ascii="Times New Roman" w:hAnsi="Times New Roman" w:cs="方正仿宋简体" w:eastAsiaTheme="minorEastAsia"/>
                <w:sz w:val="21"/>
                <w:szCs w:val="21"/>
              </w:rPr>
              <w:t>一切单位和个人都不得擅自拆除环境卫生设施;因建设需要必须拆除的，建设单位必须事先提出拆迁方案，报城市人民政府市容环境卫生行政主管部门批准。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80" w:firstLineChars="200"/>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表2-48</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招牌设置许可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0"/>
              <w:shd w:val="clear" w:color="auto" w:fill="FFFFFF"/>
              <w:spacing w:before="0" w:beforeAutospacing="0" w:after="225" w:afterAutospacing="0"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1.《成都市户外广告和招牌设置管理条例》第一章第五条：</w:t>
            </w:r>
            <w:r>
              <w:rPr>
                <w:rFonts w:ascii="Times New Roman" w:hAnsi="Times New Roman" w:cs="方正仿宋简体" w:eastAsiaTheme="minorEastAsia"/>
                <w:sz w:val="21"/>
                <w:szCs w:val="21"/>
              </w:rPr>
              <w:t>城市管理行政主管部门负责户外广告和招牌设置的监督管理工作;交通运输行政主管部门负责公路及其两侧建筑控制区范围内的户外广告设置监督管理工作。公安机关、工商行政管理部门和规划、建设、园林等行政主管部门按照各自职责，协同城市管理行政主管部门实施本条例。街道办事处、镇(乡)人民政府在城市管理等行政主管部门的指导下，对本辖区的户外广告和招牌设置活动进行日常监督和检查。</w:t>
            </w:r>
            <w:r>
              <w:rPr>
                <w:rFonts w:hint="eastAsia" w:ascii="Times New Roman" w:hAnsi="Times New Roman" w:cs="方正仿宋简体" w:eastAsiaTheme="minorEastAsia"/>
                <w:sz w:val="21"/>
                <w:szCs w:val="21"/>
              </w:rPr>
              <w:t>第四章：</w:t>
            </w:r>
            <w:r>
              <w:rPr>
                <w:rFonts w:ascii="Times New Roman" w:hAnsi="Times New Roman" w:cs="方正仿宋简体" w:eastAsiaTheme="minorEastAsia"/>
                <w:sz w:val="21"/>
                <w:szCs w:val="21"/>
              </w:rPr>
              <w:t>招牌设置管理</w:t>
            </w:r>
            <w:r>
              <w:rPr>
                <w:rFonts w:hint="eastAsia" w:ascii="Times New Roman" w:hAnsi="Times New Roman" w:cs="方正仿宋简体" w:eastAsiaTheme="minor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7.《成都市户外广告和招牌设置管理条例》</w:t>
            </w:r>
            <w:r>
              <w:rPr>
                <w:rFonts w:ascii="Times New Roman" w:hAnsi="Times New Roman" w:cs="方正仿宋简体" w:eastAsiaTheme="minorEastAsia"/>
                <w:sz w:val="21"/>
                <w:szCs w:val="21"/>
              </w:rPr>
              <w:t>第二十九条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区(市)县城市管理行政主管部门应当在收到设置申请五日内对申请人的申请进行审查。对符合规定要求的，予以许可;对不予许可的，应当书面说明。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80" w:firstLineChars="200"/>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表2-49</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户外广告审批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w:t>
            </w:r>
            <w:r>
              <w:fldChar w:fldCharType="begin"/>
            </w:r>
            <w:r>
              <w:instrText xml:space="preserve"> HYPERLINK "http://www.sc.gov.cn/10462/zcwjk/zcwjk.shtml?title=%E3%80%8A%E4%B8%AD%E5%8D%8E%E4%BA%BA%E6%B0%91%E5%85%B1%E5%92%8C%E5%9B%BD%E5%B9%BF%E5%91%8A%E6%B3%95%E3%80%8B" \t "_blank" </w:instrText>
            </w:r>
            <w:r>
              <w:fldChar w:fldCharType="separate"/>
            </w:r>
            <w:r>
              <w:rPr>
                <w:rFonts w:hint="eastAsia" w:ascii="Times New Roman" w:hAnsi="Times New Roman" w:cs="方正仿宋简体" w:eastAsiaTheme="minorEastAsia"/>
                <w:sz w:val="21"/>
                <w:szCs w:val="21"/>
              </w:rPr>
              <w:t>《中华人民共和国广告法》</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第四十一条：县级以上地方人民政府应当组织有关部门加强对利用户外场所、空间、设施等发布户外广告的监督管理，制定户外广告设置规划和安全要求。 户外广告的管理办法，由地方性法规、地方政府规章规定。</w:t>
            </w:r>
          </w:p>
          <w:p>
            <w:pPr>
              <w:pStyle w:val="19"/>
              <w:spacing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fldChar w:fldCharType="begin"/>
            </w:r>
            <w:r>
              <w:instrText xml:space="preserve"> HYPERLINK "http://www.sc.gov.cn/10462/zcwjk/zcwjk.shtml?title=%E3%80%8A%E5%9F%8E%E5%B8%82%E5%B8%82%E5%AE%B9%E5%92%8C%E7%8E%AF%E5%A2%83%E5%8D%AB%E7%94%9F%E7%AE%A1%E7%90%86%E6%9D%A1%E4%BE%8B%E3%80%8B" \t "_blank" </w:instrText>
            </w:r>
            <w:r>
              <w:fldChar w:fldCharType="separate"/>
            </w:r>
            <w:r>
              <w:rPr>
                <w:rFonts w:hint="eastAsia" w:ascii="Times New Roman" w:hAnsi="Times New Roman" w:cs="方正仿宋简体" w:eastAsiaTheme="minorEastAsia"/>
                <w:sz w:val="21"/>
                <w:szCs w:val="21"/>
              </w:rPr>
              <w:t>《城市市容和环境卫生管理条例》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十一条、第十七条：在城市中设置户外广告、标语牌、画廊、橱窗等，应当内容健康、外型美观，并定期维修、油饰或者拆除。大型户外广告的设置必须征得城市人民政府市容环境卫生行政主管部门同意后，按照有关规定办理审批手续；一切单位和个人，都不得在城市建筑物、设施以及树木上涂写、刻画。 单位和个人在城市建筑物、设施上张挂、张贴宣传品等，须经城市人民政府市容环境卫生行政主管部门或者其他有关部门批准。</w:t>
            </w:r>
          </w:p>
          <w:p>
            <w:pPr>
              <w:pStyle w:val="19"/>
              <w:spacing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3.《成都市户外广告和招牌设置管理条例》</w:t>
            </w:r>
            <w:r>
              <w:rPr>
                <w:rFonts w:ascii="Times New Roman" w:hAnsi="Times New Roman" w:cs="方正仿宋简体" w:eastAsiaTheme="minorEastAsia"/>
                <w:sz w:val="21"/>
                <w:szCs w:val="21"/>
              </w:rPr>
              <w:t>第十七条申请设置户外广告，应当提交书面申请，并提供下列材料:(一)载体权属或者使用权证明;(二)载体位置关系图;(三)户外广告设施设计图及效果图;(四)户外广告设施制作说明及安全维护措施;(五)法律、法规、规章规定的其他材料。属本条例第十四条规定情形的，申请人应当提交规划或者其他相关行政主管部门出具的批准文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7.《成都市户外广告和招牌设置管理条例》</w:t>
            </w:r>
            <w:r>
              <w:rPr>
                <w:rFonts w:ascii="Times New Roman" w:hAnsi="Times New Roman" w:cs="方正仿宋简体" w:eastAsiaTheme="minorEastAsia"/>
                <w:sz w:val="21"/>
                <w:szCs w:val="21"/>
              </w:rPr>
              <w:t>第十八条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审批部门应当自收到户外广告设置申请七日内对申请人的申请进行审查。对符合设置条件的，予以许可;对申请材料不齐或者不符合法定形式的，应当当场或者在五日内一次性告知申请人需要补充的全部材料。在规定时间内申请人未补充材料的，视为撤回申请。申请人仍需设置户外广告的，应当重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firstLine="480" w:firstLineChars="200"/>
        <w:rPr>
          <w:rFonts w:ascii="Times New Roman" w:hAnsi="Times New Roman"/>
          <w:sz w:val="24"/>
        </w:rPr>
      </w:pPr>
    </w:p>
    <w:p>
      <w:pPr>
        <w:spacing w:before="8" w:line="360" w:lineRule="exact"/>
        <w:ind w:firstLine="480" w:firstLineChars="200"/>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表2-50</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成都市建筑垃圾运输车辆专用证核发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0"/>
              <w:shd w:val="clear" w:color="auto" w:fill="FFFFFF"/>
              <w:spacing w:before="0" w:beforeAutospacing="0" w:after="225" w:afterAutospacing="0" w:line="360" w:lineRule="exact"/>
              <w:ind w:firstLine="420" w:firstLineChars="200"/>
              <w:textAlignment w:val="center"/>
              <w:rPr>
                <w:rFonts w:ascii="Times New Roman" w:hAnsi="Times New Roman" w:cs="Arial" w:eastAsiaTheme="minorEastAsia"/>
                <w:color w:val="333333"/>
                <w:sz w:val="21"/>
                <w:szCs w:val="21"/>
              </w:rPr>
            </w:pPr>
            <w:r>
              <w:rPr>
                <w:rFonts w:hint="eastAsia" w:ascii="Times New Roman" w:hAnsi="Times New Roman" w:cs="方正仿宋简体" w:eastAsiaTheme="minorEastAsia"/>
                <w:sz w:val="21"/>
                <w:szCs w:val="21"/>
              </w:rPr>
              <w:t>《城市建筑垃圾管理规定》第二条：</w:t>
            </w:r>
            <w:r>
              <w:rPr>
                <w:rFonts w:ascii="Times New Roman" w:hAnsi="Times New Roman" w:cs="方正仿宋简体" w:eastAsiaTheme="minorEastAsia"/>
                <w:sz w:val="21"/>
                <w:szCs w:val="21"/>
              </w:rPr>
              <w:t xml:space="preserve"> 本规定适用于城市规划区内建筑垃圾的倾倒、运输、中转、回填、消纳、利用等处置活动。本规定所称建筑垃圾，是指建设单位、施工单位新建、改建、扩建和拆除各类建筑物、构筑物、管网等以及居民装饰装修房屋过程中所产生的弃土、弃料及其它废弃物</w:t>
            </w:r>
            <w:r>
              <w:rPr>
                <w:rFonts w:hint="eastAsia" w:ascii="Times New Roman" w:hAnsi="Times New Roman" w:cs="方正仿宋简体" w:eastAsiaTheme="minorEastAsia"/>
                <w:sz w:val="21"/>
                <w:szCs w:val="21"/>
              </w:rPr>
              <w:t>；第十三条：</w:t>
            </w:r>
            <w:r>
              <w:rPr>
                <w:rFonts w:ascii="Times New Roman" w:hAnsi="Times New Roman" w:cs="方正仿宋简体" w:eastAsiaTheme="minorEastAsia"/>
                <w:sz w:val="21"/>
                <w:szCs w:val="21"/>
              </w:rPr>
              <w:t>施工单位不得将建筑垃圾交给个人或者未经核准从事建筑垃圾运输的单位运输</w:t>
            </w:r>
            <w:r>
              <w:rPr>
                <w:rFonts w:hint="eastAsia" w:ascii="Times New Roman" w:hAnsi="Times New Roman" w:cs="方正仿宋简体" w:eastAsiaTheme="minorEastAsia"/>
                <w:sz w:val="21"/>
                <w:szCs w:val="21"/>
              </w:rPr>
              <w:t>；第十四条：</w:t>
            </w:r>
            <w:r>
              <w:rPr>
                <w:rFonts w:ascii="Times New Roman" w:hAnsi="Times New Roman" w:cs="方正仿宋简体" w:eastAsiaTheme="minorEastAsia"/>
                <w:sz w:val="21"/>
                <w:szCs w:val="21"/>
              </w:rPr>
              <w:t>处置建筑垃圾的单位在运输建筑垃圾时，应当随车携带建筑垃圾处置核准文件，按照城市人民政府有关部门规定的运输路线、时间运行，不得丢弃、遗撒建筑垃圾，不得超出核准范围承运建筑垃圾。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p>
            <w:pPr>
              <w:pStyle w:val="19"/>
              <w:spacing w:line="360" w:lineRule="exact"/>
              <w:ind w:left="108" w:firstLine="420" w:firstLineChars="200"/>
              <w:textAlignment w:val="center"/>
              <w:rPr>
                <w:rFonts w:ascii="Times New Roman" w:hAnsi="Times New Roman"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表2-51</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在城市建筑物、设施上张挂、张贴宣传品审批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w:t>
            </w:r>
            <w:r>
              <w:fldChar w:fldCharType="begin"/>
            </w:r>
            <w:r>
              <w:instrText xml:space="preserve"> HYPERLINK "http://www.sc.gov.cn/10462/zcwjk/zcwjk.shtml?title=%E3%80%8A%E5%9F%8E%E5%B8%82%E5%B8%82%E5%AE%B9%E5%92%8C%E7%8E%AF%E5%A2%83%E5%8D%AB%E7%94%9F%E7%AE%A1%E7%90%86%E6%9D%A1%E4%BE%8B%E3%80%8B" \t "_blank" </w:instrText>
            </w:r>
            <w:r>
              <w:fldChar w:fldCharType="separate"/>
            </w:r>
            <w:r>
              <w:rPr>
                <w:rFonts w:hint="eastAsia" w:ascii="Times New Roman" w:hAnsi="Times New Roman" w:cs="方正仿宋简体" w:eastAsiaTheme="minorEastAsia"/>
                <w:sz w:val="21"/>
                <w:szCs w:val="21"/>
              </w:rPr>
              <w:t>《城市市容和环境卫生管理条例》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十一条、第十七条：在城市中设置户外广告、标语牌、画廊、橱窗等，应当内容健康、外型美观，并定期维修、油饰或者拆除。大型户外广告的设置必须征得城市人民政府市容环境卫生行政主管部门同意后，按照有关规定办理审批手续；一切单位和个人，都不得在城市建筑物、设施以及树木上涂写、刻画。 单位和个人在城市建筑物、设施上张挂、张贴宣传品等，须经城市人民政府市容环境卫生行政主管部门或者其他有关部门批准。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80" w:firstLineChars="200"/>
        <w:rPr>
          <w:rFonts w:ascii="Times New Roman" w:hAnsi="Times New Roman"/>
          <w:sz w:val="24"/>
        </w:rPr>
      </w:pPr>
    </w:p>
    <w:p>
      <w:pPr>
        <w:widowControl/>
        <w:jc w:val="left"/>
        <w:rPr>
          <w:rFonts w:ascii="Times New Roman" w:hAnsi="Times New Roman"/>
        </w:rPr>
      </w:pPr>
      <w:r>
        <w:rPr>
          <w:rFonts w:ascii="Times New Roman" w:hAnsi="Times New Roman"/>
        </w:rPr>
        <w:br w:type="page"/>
      </w:r>
    </w:p>
    <w:p>
      <w:pPr>
        <w:pStyle w:val="3"/>
        <w:spacing w:line="360" w:lineRule="exact"/>
        <w:rPr>
          <w:rFonts w:ascii="Times New Roman" w:hAnsi="Times New Roman"/>
        </w:rPr>
      </w:pPr>
      <w:r>
        <w:rPr>
          <w:rFonts w:hint="eastAsia" w:ascii="Times New Roman" w:hAnsi="Times New Roman"/>
        </w:rPr>
        <w:t>表2-52</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城市生活垃圾经营性清扫、收集、运输、处理审批和城市垃圾建筑处置批准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w:t>
            </w:r>
            <w:r>
              <w:fldChar w:fldCharType="begin"/>
            </w:r>
            <w:r>
              <w:instrText xml:space="preserve"> HYPERLINK "http://www.sc.gov.cn/10462/zcwjk/zcwjk.shtml?title=%E3%80%8A%E5%9B%BD%E5%8A%A1%E9%99%A2%E5%AF%B9%E7%A1%AE%E9%9C%80%E4%BF%9D%E7%95%99%E7%9A%84%E8%A1%8C%E6%94%BF%E5%AE%A1%E6%89%B9%E9%A1%B9%E7%9B%AE%E8%AE%BE%E5%AE%9A%E8%A1%8C%E6%94%BF%E8%AE%B8%E5%8F%AF%E7%9A%84%E5%86%B3%E5%AE%9A%E3%80%8B" \t "_blank" </w:instrText>
            </w:r>
            <w:r>
              <w:fldChar w:fldCharType="separate"/>
            </w:r>
            <w:r>
              <w:rPr>
                <w:rFonts w:hint="eastAsia" w:ascii="Times New Roman" w:hAnsi="Times New Roman" w:cs="方正仿宋简体" w:eastAsiaTheme="minorEastAsia"/>
                <w:sz w:val="21"/>
                <w:szCs w:val="21"/>
              </w:rPr>
              <w:t>《国务院对确需保留的行政审批项目设定行政许可的决定》</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附件第102项：从事城市生活垃圾经营性清扫、收集、运输、处理服务审批，实施机关：所在城市的市人民政府市容环境卫生行政主管部门。</w:t>
            </w:r>
          </w:p>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2.《城市建筑垃圾管理办法》第十七条、第二十五条：从事城市生活垃圾经营性清扫、收集、运输的企业，应当取得城市生活垃圾经营性清扫、收集、运输服务许可证；从事城市生活垃圾经营性处置的企业，应当向所在地直辖市、市、县人民政府建设（环境卫生）主管部门取得城市生活垃圾经营性处置服务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80" w:firstLineChars="200"/>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表2-53</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采集国家规定野生植物审批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w:t>
            </w:r>
            <w:r>
              <w:fldChar w:fldCharType="begin"/>
            </w:r>
            <w:r>
              <w:instrText xml:space="preserve"> HYPERLINK "http://www.sc.gov.cn/10462/zcwjk/zcwjk.shtml?title=%E3%80%8A%E4%B8%AD%E5%8D%8E%E4%BA%BA%E6%B0%91%E5%85%B1%E5%92%8C%E5%9B%BD%E9%87%8E%E7%94%9F%E6%A4%8D%E7%89%A9%E4%BF%9D%E6%8A%A4%E6%9D%A1%E4%BE%8B%E3%80%8B" \t "_blank" </w:instrText>
            </w:r>
            <w:r>
              <w:fldChar w:fldCharType="separate"/>
            </w:r>
            <w:r>
              <w:rPr>
                <w:rFonts w:hint="eastAsia" w:ascii="Times New Roman" w:hAnsi="Times New Roman" w:cs="方正仿宋简体" w:eastAsiaTheme="minorEastAsia"/>
                <w:sz w:val="21"/>
                <w:szCs w:val="21"/>
              </w:rPr>
              <w:t>《中华人民共和国野生植物保护条例》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十六条：禁止采集国家一级保护野生植物。采集珍贵野生树木或者林区内、草原上的野生植物的，依照森林法、草原法的规定办理。采集国家二级保护野生植物的，应当经采集地的县级人民政府野生植物行政主管部门签署意见后，向省人民政府野生植物行政主管部门或者其授权的机构申请采集证。</w:t>
            </w:r>
          </w:p>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2.</w:t>
            </w:r>
            <w:r>
              <w:fldChar w:fldCharType="begin"/>
            </w:r>
            <w:r>
              <w:instrText xml:space="preserve"> HYPERLINK "http://www.sc.gov.cn/10462/zcwjk/zcwjk.shtml?title=%E3%80%8A%E5%9B%9B%E5%B7%9D%E7%9C%81%E9%87%8E%E7%94%9F%E6%A4%8D%E7%89%A9%E4%BF%9D%E6%8A%A4%E6%9D%A1%E4%BE%8B%E3%80%8B" \t "_blank" </w:instrText>
            </w:r>
            <w:r>
              <w:fldChar w:fldCharType="separate"/>
            </w:r>
            <w:r>
              <w:rPr>
                <w:rFonts w:hint="eastAsia" w:ascii="Times New Roman" w:hAnsi="Times New Roman" w:cs="方正仿宋简体" w:eastAsiaTheme="minorEastAsia"/>
                <w:sz w:val="21"/>
                <w:szCs w:val="21"/>
              </w:rPr>
              <w:t>《四川省野生植物保护条例》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第十四条：禁止采集国家一级保护野生植物。确因科学研究、人工培育、文化交流等需要采集国家一级保护野生植物的，按照国务院野生植物行政主管部门的规定办理采集证。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ind w:firstLine="420" w:firstLineChars="200"/>
        <w:jc w:val="left"/>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表2-54</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国家二级保护农业野生植物采集审批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中华人民共和国野生植物保护条例》第十六条：采集国家二级保护野生植物的，必须经采集地的县级人民政府野生植物行政主管部门签署意见后，向省、自治区、直辖市人民政府野生植物行政主管部门或者其授权的机构申请采集证。采集城市园林或者风景名胜区内的国家一级或者二级保护野生植物的，须先征得城市园林或者风景名胜区管理机构同意，分别依照前两款的规定申请采集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fldChar w:fldCharType="begin"/>
            </w:r>
            <w:r>
              <w:instrText xml:space="preserve"> HYPERLINK "http://www.sc.gov.cn/10462/zcwjk/zcwjk.shtml?title=%E3%80%8A%E5%86%9C%E4%B8%9A%E9%87%8E%E7%94%9F%E6%A4%8D%E7%89%A9%E4%BF%9D%E6%8A%A4%E5%8A%9E%E6%B3%95%E3%80%8B" \t "_blank" </w:instrText>
            </w:r>
            <w:r>
              <w:fldChar w:fldCharType="separate"/>
            </w:r>
            <w:r>
              <w:rPr>
                <w:rFonts w:hint="eastAsia" w:ascii="Times New Roman" w:hAnsi="Times New Roman" w:cs="方正仿宋简体" w:eastAsiaTheme="minorEastAsia"/>
                <w:sz w:val="21"/>
                <w:szCs w:val="21"/>
              </w:rPr>
              <w:t>《农业野生植物保护办法》</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十五条：申请采集国家重点保护野生植物，应当填写《国家重点保护野生植物采集申请表》，经采集地县级农业行政主管部门签署审核意见后，向采集地省级农业行政主管部门或其授权的野生植物保护管理机构申请办理采集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表2-55</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进入林业系统自然保护区从事科学研究、教学实习、科学考察、拍摄影片、登山等活动审批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中华人民共和国自然保护区条例》第二十七条：禁止任何人进入自然保护区的核心区。因科学研究的需要，必须进入核心区从事科学研究、观测、调查活动的，应当事先向自然保护区管理机构提交申请和活动计划，并经省级以上人民政府有关自然保护区行政主管部门批准；其中，进入国家级自然保护区核心区的，必须经国务院有关自然保护区行政主管部门批准。</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2.《森林和野生动物类型自然保护区管理办法》第十三条：进入自然保护区从事科学研究、教学实习、参观考察、拍摄影片、登山等活动的单位和个人，必须经省、自治区、直辖市以上林业主管部门的同意。</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fldChar w:fldCharType="begin"/>
            </w:r>
            <w:r>
              <w:instrText xml:space="preserve"> HYPERLINK "http://www.sc.gov.cn/10462/zcwjk/zcwjk.shtml?title=%E3%80%8A%E5%9B%9B%E5%B7%9D%E7%9C%81%E4%BA%BA%E6%B0%91%E6%94%BF%E5%BA%9C%E5%85%B3%E4%BA%8E%E5%8F%96%E6%B6%88%E5%92%8C%E4%B8%8B%E6%94%BE%E7%AC%AC%E4%B8%89%E6%89%B9%E8%A1%8C%E6%94%BF%E5%AE%A1%E6%89%B9%E9%A1%B9%E7%9B%AE%E7%9A%84%E5%86%B3%E5%AE%9A%E3%80%8B" \t "_blank" </w:instrText>
            </w:r>
            <w:r>
              <w:fldChar w:fldCharType="separate"/>
            </w:r>
            <w:r>
              <w:rPr>
                <w:rFonts w:hint="eastAsia" w:ascii="Times New Roman" w:hAnsi="Times New Roman" w:cs="方正仿宋简体" w:eastAsiaTheme="minorEastAsia"/>
                <w:sz w:val="21"/>
                <w:szCs w:val="21"/>
              </w:rPr>
              <w:t>《四川省人民政府关于取消和下放第三批行政审批项目的决定》</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附件2：下放管理层级的行政审批项目目录（35项）第27项,“进入林业系统国家级自然保护区从事科学研究、教学实习、科学考察、拍摄影片、登山等活动审批”下放给市（州）级林业行政主管部门审批。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表2-56</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外国人对重点保护野生动物植物进行野外考察、拍摄电影、录像审批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中华人民共和国野生动物保护法》第四十条：外国人在我国对国家重点保护野生动物进行野外考察或者在野外拍摄电影、录像，应当经省、自治区、直辖市人民政府野生动物保护主管部门或者其授权的单位批准，并遵守有关法律法规规定。</w:t>
            </w:r>
          </w:p>
          <w:p>
            <w:pPr>
              <w:pStyle w:val="19"/>
              <w:spacing w:line="360" w:lineRule="exact"/>
              <w:ind w:firstLine="420" w:firstLineChars="200"/>
              <w:jc w:val="both"/>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2.</w:t>
            </w:r>
            <w:r>
              <w:rPr>
                <w:rFonts w:hint="eastAsia" w:ascii="Times New Roman" w:hAnsi="Times New Roman" w:cs="方正仿宋简体" w:eastAsiaTheme="minorEastAsia"/>
                <w:sz w:val="21"/>
                <w:szCs w:val="21"/>
                <w:lang w:eastAsia="zh-CN"/>
              </w:rPr>
              <w:t>《中华人民共和国陆生野生动物保护实施条例》</w:t>
            </w:r>
            <w:r>
              <w:rPr>
                <w:rFonts w:hint="eastAsia" w:ascii="Times New Roman" w:hAnsi="Times New Roman" w:cs="方正仿宋简体" w:eastAsiaTheme="minorEastAsia"/>
                <w:sz w:val="21"/>
                <w:szCs w:val="21"/>
              </w:rPr>
              <w:t>第十九条：外国人在中国境内对国家重点保护野生动物进行野外考察、标本采集或者在野外拍摄电影、录像的，必须向国家重点保护野生动物所在地的省、自治区、直辖市人民政府林业行政主管部门提出申请，经其审核后，报国务院林业行政主管部门或者其授权的单位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widowControl/>
        <w:spacing w:line="360" w:lineRule="exact"/>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表2-57</w:t>
      </w:r>
    </w:p>
    <w:tbl>
      <w:tblPr>
        <w:tblStyle w:val="12"/>
        <w:tblW w:w="89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323"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323"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323"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森林防火期内，进入森林防火区进行实弹演习、爆破等活动审批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323" w:type="dxa"/>
          </w:tcPr>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w:t>
            </w:r>
            <w:r>
              <w:fldChar w:fldCharType="begin"/>
            </w:r>
            <w:r>
              <w:instrText xml:space="preserve"> HYPERLINK "http://www.sc.gov.cn/10462/zcwjk/zcwjk.shtml?title=%E5%9B%9B%E5%B7%9D%E7%9C%81%E6%A3%AE%E6%9E%97%E9%98%B2%E7%81%AB%E6%9D%A1%E4%BE%8B" \t "_blank" </w:instrText>
            </w:r>
            <w:r>
              <w:fldChar w:fldCharType="separate"/>
            </w:r>
            <w:r>
              <w:rPr>
                <w:rFonts w:hint="eastAsia" w:ascii="Times New Roman" w:hAnsi="Times New Roman" w:cs="方正仿宋简体" w:eastAsiaTheme="minorEastAsia"/>
                <w:sz w:val="21"/>
                <w:szCs w:val="21"/>
              </w:rPr>
              <w:t>四川省森林防火条例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》第三十条：森林防火期内，需要进入森林防火区进行实弹演习、爆破等活动的，应当征求市（州）林业行政主管部门意见，报经省人民政府林业行政主管部门批准，并采取必要的防火措施。</w:t>
            </w:r>
          </w:p>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fldChar w:fldCharType="begin"/>
            </w:r>
            <w:r>
              <w:instrText xml:space="preserve"> HYPERLINK "http://www.sc.gov.cn/10462/zcwjk/zcwjk.shtml?title=%E5%9B%9B%E5%B7%9D%E7%9C%81%E6%A3%AE%E6%9E%97%E9%98%B2%E7%81%AB%E6%9D%A1%E4%BE%8B" \t "_blank" </w:instrText>
            </w:r>
            <w:r>
              <w:fldChar w:fldCharType="separate"/>
            </w:r>
            <w:r>
              <w:rPr>
                <w:rFonts w:hint="eastAsia" w:ascii="Times New Roman" w:hAnsi="Times New Roman" w:cs="方正仿宋简体" w:eastAsiaTheme="minorEastAsia"/>
                <w:sz w:val="21"/>
                <w:szCs w:val="21"/>
              </w:rPr>
              <w:t>森林防火条例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二十五条：森林防火期内，禁止在森林防火区野外用火。因防治病虫鼠害、冻害等特殊情况确需野外用火的，应当经县级人民政府批准，并按照要求采取防火措施，严防失火；需要进入森林防火区进行实弹演习、爆破等活动的，应当经省、自治区、直辖市人民政府林业主管部门批准，并采取必要的防火措施；中国人民解放军和中国人民武装警察部队因处置突发事件和执行其他紧急任务需要进入森林防火区的，应当经其上级主管部门批准，并采取必要的防火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323"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323" w:type="dxa"/>
          </w:tcPr>
          <w:p>
            <w:pPr>
              <w:pStyle w:val="19"/>
              <w:spacing w:line="360" w:lineRule="exact"/>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323" w:type="dxa"/>
          </w:tcPr>
          <w:p>
            <w:pPr>
              <w:pStyle w:val="19"/>
              <w:spacing w:line="360" w:lineRule="exact"/>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323" w:type="dxa"/>
          </w:tcPr>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323"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ind w:firstLine="480" w:firstLineChars="200"/>
        <w:jc w:val="left"/>
        <w:rPr>
          <w:rFonts w:ascii="Times New Roman" w:hAnsi="Times New Roman"/>
          <w:sz w:val="24"/>
        </w:rPr>
      </w:pPr>
    </w:p>
    <w:p>
      <w:pPr>
        <w:widowControl/>
        <w:spacing w:line="360" w:lineRule="exact"/>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表2-58</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木材经营加工许可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《中华人民共和国森林法》；《中华人民共和国森林法实施条例》；《四川省绿化条例》；四川省人民政府办公厅转发省林业厅《关于加强木材经营加工监督管理的意见》；《中华人民共和国行政许可法》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p>
            <w:pPr>
              <w:pStyle w:val="19"/>
              <w:spacing w:line="360" w:lineRule="exact"/>
              <w:ind w:left="108" w:firstLine="420" w:firstLineChars="200"/>
              <w:textAlignment w:val="center"/>
              <w:rPr>
                <w:rFonts w:ascii="Times New Roman" w:hAnsi="Times New Roman"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spacing w:before="8" w:line="360" w:lineRule="exact"/>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表2-59</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临时占用林地审批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1.《建设项目使用林地审核审批管理办法》第二条、第六条、第九条：本办法所称建设项目使用林地，是指在林地上建造永久性、临时性的建筑物、构筑物，以及其他改变林地用途的建设行为。包括： （一）进行勘查、开采矿藏和各项建设工程占用林地。 （二）建设项目临时占用林地。 （三）森林经营单位在所经营的林地范围内修筑直接为林业生产服务的工程设施占用林地；建设项目临时占用林地和森林经营单位在所经营的林地范围内修筑直接为林业生产服务的工程设施占用林地的审批权限，由县级以上地方人民政府林业主管部门按照省、自治区、直辖市有关规定办理。其中，重点国有林区内的建设项目，由省级林业主管部门审批；建设项目需要使用林地的，用地单位或者个人应当向林地所在地的县级人民政府林业主管部门提出申请；跨县级行政区域的，分别向林地所在地的县级人民政府林业主管部门提出申请。</w:t>
            </w:r>
          </w:p>
          <w:p>
            <w:pPr>
              <w:pStyle w:val="19"/>
              <w:spacing w:line="360" w:lineRule="exact"/>
              <w:ind w:firstLine="420" w:firstLineChars="200"/>
              <w:jc w:val="both"/>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2.《中华人民共和国森林法实施条例》第十七条：需要临时占用林地的，应当经县级以上人民政府林业主管部门批准。临时占用林地的期限不得超过两年，并不得在临时占用的林地上修筑永久性建筑物；占用期满后，用地单位必须恢复林业生产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表2-60</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建立固定狩猎场审批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lang w:eastAsia="zh-CN"/>
              </w:rPr>
              <w:t>《中华人民共和国野生动物保护法》</w:t>
            </w:r>
            <w:r>
              <w:rPr>
                <w:rFonts w:hint="eastAsia" w:ascii="Times New Roman" w:hAnsi="Times New Roman" w:cs="方正仿宋简体" w:eastAsiaTheme="minorEastAsia"/>
                <w:sz w:val="21"/>
                <w:szCs w:val="21"/>
              </w:rPr>
              <w:t>；《中华人民共和国陆生野生动物保护实施条例》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p>
            <w:pPr>
              <w:pStyle w:val="19"/>
              <w:spacing w:line="360" w:lineRule="exact"/>
              <w:ind w:left="108" w:firstLine="420" w:firstLineChars="200"/>
              <w:textAlignment w:val="center"/>
              <w:rPr>
                <w:rFonts w:ascii="Times New Roman" w:hAnsi="Times New Roman"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rPr>
          <w:rFonts w:ascii="Times New Roman" w:hAnsi="Times New Roman"/>
        </w:rPr>
      </w:pPr>
      <w:r>
        <w:rPr>
          <w:rFonts w:ascii="Times New Roman" w:hAnsi="Times New Roman"/>
        </w:rPr>
        <w:br w:type="page"/>
      </w:r>
    </w:p>
    <w:p>
      <w:pPr>
        <w:pStyle w:val="3"/>
        <w:rPr>
          <w:rFonts w:ascii="Times New Roman" w:hAnsi="Times New Roman"/>
        </w:rPr>
      </w:pPr>
      <w:r>
        <w:rPr>
          <w:rFonts w:hint="eastAsia" w:ascii="Times New Roman" w:hAnsi="Times New Roman"/>
        </w:rPr>
        <w:t>表2-61</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野生动物捕捉（猎捕）许可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中华人民共和国野生动物保护法》第二十一条：禁止猎捕、杀害国家重点保护野生动物。因科学研究、种群调控、疫源疫病监测或者其他特殊情况，需要猎捕国家一级保护野生动物的，应当向国务院野生动物保护主管部门申请特许猎捕证；需要猎捕国家二级保护野生动物的，应当向省、自治区、直辖市人民政府野生动物保护主管部门申请特许猎捕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80" w:firstLineChars="200"/>
        <w:rPr>
          <w:rFonts w:ascii="Times New Roman" w:hAnsi="Times New Roman" w:eastAsiaTheme="minorEastAsia"/>
          <w:sz w:val="24"/>
        </w:rPr>
      </w:pPr>
    </w:p>
    <w:p>
      <w:pPr>
        <w:rPr>
          <w:rFonts w:ascii="Times New Roman" w:hAnsi="Times New Roman"/>
        </w:rPr>
      </w:pPr>
      <w:r>
        <w:rPr>
          <w:rFonts w:ascii="Times New Roman" w:hAnsi="Times New Roman"/>
        </w:rPr>
        <w:br w:type="page"/>
      </w:r>
    </w:p>
    <w:p>
      <w:pPr>
        <w:pStyle w:val="3"/>
        <w:rPr>
          <w:rFonts w:ascii="Times New Roman" w:hAnsi="Times New Roman"/>
        </w:rPr>
      </w:pPr>
      <w:r>
        <w:rPr>
          <w:rFonts w:hint="eastAsia" w:ascii="Times New Roman" w:hAnsi="Times New Roman"/>
        </w:rPr>
        <w:t>表2-62</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出售、收购国家二级保护野生植物审批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中华人民共和国野生植物保护条例》第十八条：禁止出售、收购国家一级保护野生植物。出售、收购国家二级保护野生植物的，必须经省、自治区、直辖市人民政府野生植物行政主管部门或者其授权的机构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表2-63</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建设项目绿地率指标审核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0"/>
              <w:shd w:val="clear" w:color="auto" w:fill="FFFFFF"/>
              <w:spacing w:before="0" w:beforeAutospacing="0" w:after="225" w:afterAutospacing="0"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《四川省城市园林绿化条例》第十三条：</w:t>
            </w:r>
            <w:r>
              <w:rPr>
                <w:rFonts w:ascii="Times New Roman" w:hAnsi="Times New Roman" w:cs="方正仿宋简体" w:eastAsiaTheme="minorEastAsia"/>
                <w:sz w:val="21"/>
                <w:szCs w:val="21"/>
              </w:rPr>
              <w:t>城市绿化用地面积占新建、改建、扩建用地总面积的规划指标为:(一)旧城改造区、城市主干道以及城市产业区内的大中型商业和服务设施不低于百分之二十;(二)工矿区企业不低于百分之二十五;(三)新开发建设区、大专院校、科研机构和宾馆、饭店、体育场馆大型公共建筑不低于百分之三十，其中，新开发建设区内的居住小区人均公共绿地面积不得低于一平方米;(四)医院、疗养院不低于百分之三十五;(五)污染严重的企业、事业单位不低于百分之四十;(六)城市规划区内的公路、铁路、道路应当按规划和技术规范进行绿化。除前款各项规定外，其它建设工程，地处城市建成区内的不低于百分之二十五，城市建成区以外的，不低于百分之三十</w:t>
            </w:r>
            <w:r>
              <w:rPr>
                <w:rFonts w:hint="eastAsia" w:ascii="Times New Roman" w:hAnsi="Times New Roman" w:cs="方正仿宋简体" w:eastAsiaTheme="minorEastAsia"/>
                <w:sz w:val="21"/>
                <w:szCs w:val="21"/>
              </w:rPr>
              <w:t>；第二十六条：</w:t>
            </w:r>
            <w:r>
              <w:rPr>
                <w:rFonts w:ascii="Times New Roman" w:hAnsi="Times New Roman" w:cs="方正仿宋简体" w:eastAsiaTheme="minorEastAsia"/>
                <w:sz w:val="21"/>
                <w:szCs w:val="21"/>
              </w:rPr>
              <w:t>新建、改建、扩建城市的绿化用地面积确因条件限制达不到本条例第十三条规定标准的，经城市园林绿化行政主管部门审核，报城市人民政府批准，按所缺的绿化用地面积交纳绿化费，由城市园林绿化行政主管部门收取，并按规划专项用于异地绿化建设，其收取使用管理办法由省人民政府规定</w:t>
            </w:r>
            <w:r>
              <w:rPr>
                <w:rFonts w:hint="eastAsia" w:ascii="Times New Roman" w:hAnsi="Times New Roman" w:cs="方正仿宋简体" w:eastAsiaTheme="minorEastAsia"/>
                <w:sz w:val="21"/>
                <w:szCs w:val="21"/>
              </w:rPr>
              <w:t>；第二十八条：</w:t>
            </w:r>
            <w:r>
              <w:rPr>
                <w:rFonts w:ascii="Times New Roman" w:hAnsi="Times New Roman" w:cs="方正仿宋简体" w:eastAsiaTheme="minorEastAsia"/>
                <w:sz w:val="21"/>
                <w:szCs w:val="21"/>
              </w:rPr>
              <w:t>城市园林绿地管理实行以下分工:(一)公共绿地、防护绿地、风景林地由城市人民政府园林绿化行政主管部门或其主管部门负责;(二)单位附属绿地由该单位责;(三)居住区、居住小区绿地，由所在地人民政府城市园林绿化行政主管部门根据实际情况确定的单位或者居民负责;(四)苗圃、草圃、花圃等生产绿地由其经营单位负责;(五)临街的单位和居民住户负责管理维护其门前责任地段的绿化;(六)开发区的绿地由开发单位或开发区内的土地使用权单位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p>
            <w:pPr>
              <w:pStyle w:val="19"/>
              <w:spacing w:line="360" w:lineRule="exact"/>
              <w:ind w:left="108" w:firstLine="420" w:firstLineChars="200"/>
              <w:textAlignment w:val="center"/>
              <w:rPr>
                <w:rFonts w:ascii="Times New Roman" w:hAnsi="Times New Roman"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firstLine="480" w:firstLineChars="200"/>
        <w:rPr>
          <w:rFonts w:ascii="Times New Roman" w:hAnsi="Times New Roman"/>
          <w:sz w:val="24"/>
        </w:rPr>
      </w:pPr>
    </w:p>
    <w:p>
      <w:pPr>
        <w:widowControl/>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表2-64</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移植树木、树木砍伐审批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w:t>
            </w:r>
            <w:r>
              <w:fldChar w:fldCharType="begin"/>
            </w:r>
            <w:r>
              <w:instrText xml:space="preserve"> HYPERLINK "http://www.sc.gov.cn/10462/zcwjk/zcwjk.shtml?title=%E3%80%8A%E5%9B%9B%E5%B7%9D%E7%9C%81%E5%9F%8E%E5%B8%82%E5%9B%AD%E6%9E%97%E7%BB%BF%E5%8C%96%E6%9D%A1%E4%BE%8B%E3%80%8B" \t "_blank" </w:instrText>
            </w:r>
            <w:r>
              <w:fldChar w:fldCharType="separate"/>
            </w:r>
            <w:r>
              <w:rPr>
                <w:rFonts w:hint="eastAsia" w:ascii="Times New Roman" w:hAnsi="Times New Roman" w:cs="方正仿宋简体" w:eastAsiaTheme="minorEastAsia"/>
                <w:sz w:val="21"/>
                <w:szCs w:val="21"/>
              </w:rPr>
              <w:t>《四川省城市园林绿化条例》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三十三条、第三十九条：任何单位和个人，不得损坏城市树竹花草和园林绿化设施。因建设或者其他特殊需要移植、砍伐城市树木的，须经城市人民政府或其园林绿化行政主管部门批准，并按照国家有关规定补植树木或者采取其他补救措施；百年以上树龄的树木，稀有、珍贵树木，具有历史价值或者重要纪念意义的树木均属古树名木。对城市古树名木实行统一管理，分别养护。城市人民政府园林绿化行政主管部门对古树名木应当建档挂牌，划定保护范围，加强养护管理。在单位管界内或者私人庭院内的古树名木，由该单位或者居民负责养护，城市人民政府园林绿化行政主管部门负责监督和技术指导。严禁砍伐或者迁移古树名木。因特殊需要迁移古树名木的，按下列规定报批： 1.三百年以上和特别珍贵稀有或者具有重要历史价值和纪念意义的古树名木，由省人民政府城市建设行政主管部门审查，报省人民政府批准。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表2-65</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占用征收征用林地许可（临时占用林地2-10公顷）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1.《中华人民共和国森林法》第三十七条：矿藏勘查、开采以及其他各类工程建设，应当不占或者少占林地；确需占用林地的，应当经县级以上人民政府林业主管部门审核同意，依法办理建设用地审批手续。 占用林地的单位应当缴纳森林植被恢复费。森林植被恢复费征收使用管理办法由国务院财政部门会同林业主管部门制定。 县级以上人民政府林业主管部门应当按照规定安排植树造林，恢复森林植被，植树造林面积不得少于因占用林地而减少的森林植被面积。上级林业主管部门应当定期督促下级林业主管部门组织植树造林、恢复森林植被，并进行检查。</w:t>
            </w:r>
          </w:p>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2.</w:t>
            </w:r>
            <w:r>
              <w:fldChar w:fldCharType="begin"/>
            </w:r>
            <w:r>
              <w:instrText xml:space="preserve"> HYPERLINK "http://www.sc.gov.cn/10462/zcwjk/zcwjk.shtml?title=%E3%80%8A%E5%BB%BA%E8%AE%BE%E9%A1%B9%E7%9B%AE%E4%BD%BF%E7%94%A8%E6%9E%97%E5%9C%B0%E5%AE%A1%E6%A0%B8%E5%AE%A1%E6%89%B9%E7%AE%A1%E7%90%86%E5%8A%9E%E6%B3%95%E3%80%8B" \t "_blank" </w:instrText>
            </w:r>
            <w:r>
              <w:fldChar w:fldCharType="separate"/>
            </w:r>
            <w:r>
              <w:rPr>
                <w:rFonts w:hint="eastAsia" w:ascii="Times New Roman" w:hAnsi="Times New Roman" w:cs="方正仿宋简体" w:eastAsiaTheme="minorEastAsia"/>
                <w:sz w:val="21"/>
                <w:szCs w:val="21"/>
              </w:rPr>
              <w:t>《建设项目使用林地审核审批管理办法》</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第二条、第九条：本办法所称建设项目使用林地，是指在林地上建造永久性、临时性的建筑物、构筑物，以及其他改变林地用途的建设行为。包括： （一）进行勘查、开采矿藏和各项建设工程占用林地。 （二）建设项目临时占用林地。 （三）森林经营单位在所经营的林地范围内修筑直接为林业生产服务的工程设施占用林地；建设项目需要使用林地的，用地单位或者个人应当向林地所在地的县级人民政府林业主管部门提出申请；跨县级行政区域的，分别向林地所在地的县级人民政府林业主管部门提出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80" w:firstLineChars="200"/>
        <w:rPr>
          <w:rFonts w:ascii="Times New Roman" w:hAnsi="Times New Roman"/>
          <w:sz w:val="24"/>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表2-66</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28"/>
              <w:framePr w:hSpace="0" w:wrap="auto" w:vAnchor="margin" w:hAnchor="text" w:yAlign="inline"/>
              <w:spacing w:line="360" w:lineRule="exact"/>
              <w:ind w:left="0" w:firstLine="0" w:firstLineChars="0"/>
              <w:textAlignment w:val="center"/>
              <w:rPr>
                <w:rFonts w:ascii="Times New Roman" w:hAnsi="Times New Roman" w:eastAsiaTheme="minorEastAsia"/>
              </w:rPr>
            </w:pPr>
            <w:r>
              <w:rPr>
                <w:rFonts w:hint="eastAsia" w:ascii="Times New Roman" w:hAnsi="Times New Roman" w:eastAsiaTheme="minorEastAsia"/>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28"/>
              <w:framePr w:hSpace="0" w:wrap="auto" w:vAnchor="margin" w:hAnchor="text" w:yAlign="inline"/>
              <w:spacing w:line="360" w:lineRule="exact"/>
              <w:ind w:left="0" w:firstLine="0" w:firstLineChars="0"/>
              <w:textAlignment w:val="center"/>
              <w:rPr>
                <w:rFonts w:ascii="Times New Roman" w:hAnsi="Times New Roman" w:eastAsiaTheme="minorEastAsia"/>
              </w:rPr>
            </w:pPr>
            <w:r>
              <w:rPr>
                <w:rFonts w:hint="eastAsia" w:ascii="Times New Roman" w:hAnsi="Times New Roman" w:cs="方正仿宋简体" w:eastAsiaTheme="minorEastAsia"/>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28"/>
              <w:framePr w:hSpace="0" w:wrap="auto" w:vAnchor="margin" w:hAnchor="text" w:yAlign="inline"/>
              <w:spacing w:line="360" w:lineRule="exact"/>
              <w:ind w:left="0" w:firstLine="0" w:firstLineChars="0"/>
              <w:textAlignment w:val="center"/>
              <w:rPr>
                <w:rFonts w:ascii="Times New Roman" w:hAnsi="Times New Roman" w:eastAsiaTheme="minorEastAsia"/>
              </w:rPr>
            </w:pPr>
            <w:r>
              <w:rPr>
                <w:rFonts w:hint="eastAsia" w:ascii="Times New Roman" w:hAnsi="Times New Roman" w:cs="方正仿宋简体" w:eastAsiaTheme="minorEastAsia"/>
                <w:color w:val="000000"/>
              </w:rPr>
              <w:t>植物检疫证核发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hint="eastAsia" w:ascii="Times New Roman" w:hAnsi="Times New Roman" w:cs="方正仿宋简体" w:eastAsiaTheme="minorEastAsia"/>
              </w:rPr>
              <w:t>1.《植物检疫条例》第七条、第八条：调运植物和植物产品，属于下列情况的，必须经过检疫：（一）列入应施检疫的植物、植物产品名单的，运出发生疫情的县级行政区域之前，必须经过检疫；（二）凡种子、苗木和其他繁殖材料，不论是否列入应施检疫的植物、植物产品名单和运往何地，在调运之前，都必须经过检疫；按照本条例第七条的规定必须检疫的植物和植物产品，经检疫未发现植物检疫对象的，发给植物检疫证书。发现有植物检疫对象、但能彻底消毒处理的，托运人应按植物检疫机构的要求，在指定地点作消毒处理，经检查合格后发给植物检疫证书；无法消毒处理的，应停止调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28"/>
              <w:framePr w:hSpace="0" w:wrap="auto" w:vAnchor="margin" w:hAnchor="text" w:yAlign="inline"/>
              <w:spacing w:line="360" w:lineRule="exact"/>
              <w:textAlignment w:val="center"/>
              <w:rPr>
                <w:rFonts w:ascii="Times New Roman" w:hAnsi="Times New Roman" w:eastAsiaTheme="minorEastAsia"/>
              </w:rPr>
            </w:pPr>
            <w:r>
              <w:rPr>
                <w:rFonts w:hint="eastAsia" w:ascii="Times New Roman" w:hAnsi="Times New Roman" w:cs="方正仿宋简体" w:eastAsiaTheme="minorEastAsia"/>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ascii="Times New Roman" w:hAnsi="Times New Roman" w:cs="方正仿宋简体" w:eastAsiaTheme="minorEastAsia"/>
              </w:rPr>
              <w:t>1.受理责任：公示应当提交的材料，对书面申请材料进行形式审查，一次性告知补正材料，依法受理或不予受理（不予受理应当告知理由）。</w:t>
            </w:r>
          </w:p>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ascii="Times New Roman" w:hAnsi="Times New Roman" w:cs="方正仿宋简体" w:eastAsiaTheme="minorEastAsia"/>
              </w:rPr>
              <w:t>2.审查责任：对书面申请材料进行审查，提出审核意见。</w:t>
            </w:r>
          </w:p>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ascii="Times New Roman" w:hAnsi="Times New Roman" w:cs="方正仿宋简体" w:eastAsiaTheme="minorEastAsia"/>
              </w:rPr>
              <w:t>3.决定责任：在规定时限内，作出行政许可或者不予行政许可决定，法定告知（不予许可的应当书面告知理由）。</w:t>
            </w:r>
          </w:p>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ascii="Times New Roman" w:hAnsi="Times New Roman" w:cs="方正仿宋简体" w:eastAsiaTheme="minorEastAsia"/>
              </w:rPr>
              <w:t>4.</w:t>
            </w:r>
            <w:r>
              <w:rPr>
                <w:rFonts w:hint="eastAsia" w:ascii="Times New Roman" w:hAnsi="Times New Roman" w:cs="方正仿宋简体" w:eastAsiaTheme="minorEastAsia"/>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ascii="Times New Roman" w:hAnsi="Times New Roman" w:cs="方正仿宋简体" w:eastAsiaTheme="minorEastAsia"/>
              </w:rPr>
              <w:t>1</w:t>
            </w:r>
            <w:r>
              <w:rPr>
                <w:rFonts w:hint="eastAsia" w:ascii="Times New Roman" w:hAnsi="Times New Roman" w:cs="方正仿宋简体" w:eastAsiaTheme="minorEastAsia"/>
              </w:rPr>
              <w:t>.</w:t>
            </w:r>
            <w:r>
              <w:rPr>
                <w:rFonts w:ascii="Times New Roman" w:hAnsi="Times New Roman" w:cs="方正仿宋简体" w:eastAsiaTheme="minorEastAsia"/>
              </w:rPr>
              <w:t>《中华人民共和国行政许可法》</w:t>
            </w:r>
            <w:r>
              <w:rPr>
                <w:rFonts w:hint="eastAsia" w:ascii="Times New Roman" w:hAnsi="Times New Roman" w:cs="方正仿宋简体" w:eastAsiaTheme="minorEastAsia"/>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hint="eastAsia" w:ascii="Times New Roman" w:hAnsi="Times New Roman" w:cs="方正仿宋简体" w:eastAsiaTheme="minorEastAsia"/>
              </w:rPr>
              <w:t>2.</w:t>
            </w:r>
            <w:r>
              <w:rPr>
                <w:rFonts w:ascii="Times New Roman" w:hAnsi="Times New Roman" w:cs="方正仿宋简体" w:eastAsiaTheme="minorEastAsia"/>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hint="eastAsia" w:ascii="Times New Roman" w:hAnsi="Times New Roman" w:cs="方正仿宋简体" w:eastAsiaTheme="minorEastAsia"/>
              </w:rPr>
              <w:t>3.</w:t>
            </w:r>
            <w:r>
              <w:rPr>
                <w:rFonts w:ascii="Times New Roman" w:hAnsi="Times New Roman" w:cs="方正仿宋简体" w:eastAsiaTheme="minorEastAsia"/>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hint="eastAsia" w:ascii="Times New Roman" w:hAnsi="Times New Roman" w:cs="方正仿宋简体" w:eastAsiaTheme="minorEastAsia"/>
              </w:rPr>
              <w:t>4.</w:t>
            </w:r>
            <w:r>
              <w:rPr>
                <w:rFonts w:ascii="Times New Roman" w:hAnsi="Times New Roman" w:cs="方正仿宋简体" w:eastAsiaTheme="minorEastAsia"/>
              </w:rPr>
              <w:t>《中华人民共和国行政许可法》第四十条：“行政机关作出准予行政许可的决定，应当予以公开，公众有权查阅。”</w:t>
            </w:r>
          </w:p>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hint="eastAsia" w:ascii="Times New Roman" w:hAnsi="Times New Roman" w:cs="方正仿宋简体" w:eastAsiaTheme="minorEastAsia"/>
              </w:rPr>
              <w:t>5.</w:t>
            </w:r>
            <w:r>
              <w:rPr>
                <w:rFonts w:ascii="Times New Roman" w:hAnsi="Times New Roman" w:cs="方正仿宋简体" w:eastAsiaTheme="minorEastAsia"/>
              </w:rPr>
              <w:t>《中华人民共和国行政许可法》第四十四条：“行政机关作出准予行政许可的决定，应当自作出决定之日起十日内向申请人颁发、送达行政许可证件，或者加贴标签、加盖检验、检测、检疫印章。”</w:t>
            </w:r>
          </w:p>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hint="eastAsia" w:ascii="Times New Roman" w:hAnsi="Times New Roman" w:cs="方正仿宋简体" w:eastAsiaTheme="minorEastAsia"/>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28"/>
              <w:framePr w:hSpace="0" w:wrap="auto" w:vAnchor="margin" w:hAnchor="text" w:yAlign="inline"/>
              <w:spacing w:line="360" w:lineRule="exact"/>
              <w:ind w:left="0"/>
              <w:jc w:val="both"/>
              <w:textAlignment w:val="center"/>
              <w:rPr>
                <w:rFonts w:ascii="Times New Roman" w:hAnsi="Times New Roman" w:cs="方正仿宋简体" w:eastAsiaTheme="minorEastAsia"/>
              </w:rPr>
            </w:pPr>
            <w:r>
              <w:rPr>
                <w:rFonts w:hint="eastAsia" w:ascii="Times New Roman" w:hAnsi="Times New Roman" w:cs="方正仿宋简体" w:eastAsiaTheme="minorEastAsia"/>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28"/>
              <w:framePr w:hSpace="0" w:wrap="auto" w:vAnchor="margin" w:hAnchor="text" w:yAlign="inline"/>
              <w:spacing w:line="360" w:lineRule="exact"/>
              <w:ind w:left="0" w:firstLine="0" w:firstLineChars="0"/>
              <w:textAlignment w:val="center"/>
              <w:rPr>
                <w:rFonts w:ascii="Times New Roman" w:hAnsi="Times New Roman" w:eastAsiaTheme="minorEastAsia"/>
              </w:rPr>
            </w:pPr>
            <w:r>
              <w:rPr>
                <w:rFonts w:hint="eastAsia" w:ascii="Times New Roman" w:hAnsi="Times New Roman" w:cs="方正仿宋简体" w:eastAsiaTheme="minorEastAsia"/>
              </w:rPr>
              <w:t>028-84384493</w:t>
            </w:r>
          </w:p>
        </w:tc>
      </w:tr>
    </w:tbl>
    <w:p>
      <w:pPr>
        <w:spacing w:before="8" w:line="360" w:lineRule="exact"/>
        <w:ind w:left="509" w:firstLine="480" w:firstLineChars="200"/>
        <w:rPr>
          <w:rFonts w:ascii="Times New Roman" w:hAnsi="Times New Roman"/>
          <w:sz w:val="24"/>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表2-67</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林木种子生产、经营许可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1.《中华人民共和国种子法》第三十一条：从事种子进出口业务的种子生产经营许可证，由省、自治区、直辖市人民政府农业、林业主管部门审核，国务院农业、林业主管部门核发。 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 前两款规定以外的其他种子的生产经营许可证，由生产经营者所在地县级以上地方人民政府农业、林业主管部门核发。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firstLine="480" w:firstLineChars="200"/>
        <w:rPr>
          <w:rFonts w:ascii="Times New Roman" w:hAnsi="Times New Roman"/>
          <w:sz w:val="24"/>
        </w:rPr>
      </w:pPr>
    </w:p>
    <w:p>
      <w:pPr>
        <w:rPr>
          <w:rFonts w:ascii="Times New Roman" w:hAnsi="Times New Roman"/>
        </w:rPr>
      </w:pPr>
      <w:r>
        <w:rPr>
          <w:rFonts w:ascii="Times New Roman" w:hAnsi="Times New Roman"/>
        </w:rPr>
        <w:br w:type="page"/>
      </w:r>
    </w:p>
    <w:p>
      <w:pPr>
        <w:pStyle w:val="3"/>
        <w:rPr>
          <w:rFonts w:ascii="Times New Roman" w:hAnsi="Times New Roman"/>
        </w:rPr>
      </w:pPr>
      <w:r>
        <w:rPr>
          <w:rFonts w:hint="eastAsia" w:ascii="Times New Roman" w:hAnsi="Times New Roman"/>
        </w:rPr>
        <w:t>表2-68</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木材加工企业及其它木竹材经营企业的设立、扩建或变更名称、场地、法人代表的核准、审核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中华人民共和国森林法实施条例》第三十四条：在林区经营（含加工）木材，必须经县级以上人民政府林业主管部门批准。木材收购单位和个人不得收购没有林木采伐许可证或者其他合法来源证明的木材。前款所称木材，是指原木、锯材、竹材、木片和省、自治区、直辖市规定的其他木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表2-69</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驯养繁殖许可证（省重点保护野生动物）审核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中华人民共和国野生动物保护法》第二十五条：国家支持有关科学研究机构因物种保护目的人工繁育国家重点保护野生动物。前款规定以外的人工繁育国家重点保护野生动物实行许可制度。人工繁育国家重点保护野生动物的，应当经省、自治区、直辖市人民政府野生动物保护主管部门批准，取得人工繁育许可证，但国务院对批准机关另有规定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表2-70</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国家和省重点保护陆生野生动物及其产品经营许可证核发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0"/>
              <w:shd w:val="clear" w:color="auto" w:fill="FFFFFF"/>
              <w:spacing w:before="0" w:beforeAutospacing="0" w:after="225" w:afterAutospacing="0"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1.《中华人民共和国野生动物保护法》第二十六条：</w:t>
            </w:r>
            <w:r>
              <w:rPr>
                <w:rFonts w:ascii="Times New Roman" w:hAnsi="Times New Roman" w:cs="方正仿宋简体" w:eastAsiaTheme="minorEastAsia"/>
                <w:sz w:val="21"/>
                <w:szCs w:val="21"/>
              </w:rPr>
              <w:t>人工繁育国家重点保护野生动物应当有利于物种保护及其科学研究，不得破坏野外种群资源，并根据野生动物习性确保其具有必要的活动空间和生息繁衍、卫生健康条件，具备与其繁育目的、种类、发展规模相适应的场所、设施、技术，符合有关技术标准和防疫要求，不得虐待野生动物。省级以上人民政府野生动物保护主管部门可以根据保护国家重点保护野生动物的需要，组织开展国家重点保护野生动物放归野外环境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firstLine="480" w:firstLineChars="200"/>
        <w:rPr>
          <w:rFonts w:ascii="Times New Roman" w:hAnsi="Times New Roman"/>
          <w:sz w:val="24"/>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sz w:val="24"/>
        </w:rPr>
        <w:t xml:space="preserve"> </w:t>
      </w:r>
      <w:r>
        <w:rPr>
          <w:rFonts w:hint="eastAsia" w:ascii="Times New Roman" w:hAnsi="Times New Roman"/>
        </w:rPr>
        <w:t>表2-71</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非国家重点保护野生动物捕捉证核发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1.《中华人民共和国野生动物保护法》第十八条：</w:t>
            </w:r>
            <w:r>
              <w:rPr>
                <w:rFonts w:ascii="Times New Roman" w:hAnsi="Times New Roman" w:cs="方正仿宋简体" w:eastAsiaTheme="minorEastAsia"/>
                <w:sz w:val="21"/>
                <w:szCs w:val="21"/>
              </w:rPr>
              <w:t>有关地方人民政府应当采取措施，预防、控制野生动物可能造成的危害，保障人畜安全和农业、林业生产。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p>
            <w:pPr>
              <w:pStyle w:val="19"/>
              <w:spacing w:line="360" w:lineRule="exact"/>
              <w:ind w:left="108" w:firstLine="420" w:firstLineChars="200"/>
              <w:textAlignment w:val="center"/>
              <w:rPr>
                <w:rFonts w:ascii="Times New Roman" w:hAnsi="Times New Roman"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firstLine="480" w:firstLineChars="200"/>
        <w:rPr>
          <w:rFonts w:ascii="Times New Roman" w:hAnsi="Times New Roman"/>
          <w:sz w:val="24"/>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sz w:val="24"/>
        </w:rPr>
        <w:t xml:space="preserve"> </w:t>
      </w:r>
      <w:r>
        <w:rPr>
          <w:rFonts w:hint="eastAsia" w:ascii="Times New Roman" w:hAnsi="Times New Roman"/>
        </w:rPr>
        <w:t>表2-72</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从事营利性防沙治沙活动审批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中华人民共和国防沙治沙法》第二十六条：在治理活动开始之前，从事营利性治沙活动的单位和个人应当向治理项目所在地的县级以上地方人民政府林业行政主管部门或者县级以上地方人民政府指定的其他行政主管部门提出治理申请，并附具下列文件：（一）被治理土地权属的合法证明文件和治理协议；（二）符合防沙治沙规划的治理方案；（三）治理所需的资金证明。</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fldChar w:fldCharType="begin"/>
            </w:r>
            <w:r>
              <w:instrText xml:space="preserve"> HYPERLINK "http://www.sc.gov.cn/10462/zcwjk/zcwjk.shtml?title=%E5%9B%9B%E5%B7%9D%E7%9C%81%E3%80%8A%E4%B8%AD%E5%8D%8E%E4%BA%BA%E6%B0%91%E5%85%B1%E5%92%8C%E5%9B%BD%E9%98%B2%E6%B2%99%E6%B2%BB%E6%B2%99%E6%B3%95%E3%80%8B%E5%AE%9E%E6%96%BD%E5%8A%9E%E6%B3%95" \t "_blank" </w:instrText>
            </w:r>
            <w:r>
              <w:fldChar w:fldCharType="separate"/>
            </w:r>
            <w:r>
              <w:rPr>
                <w:rFonts w:hint="eastAsia" w:ascii="Times New Roman" w:hAnsi="Times New Roman" w:cs="方正仿宋简体" w:eastAsiaTheme="minorEastAsia"/>
                <w:sz w:val="21"/>
                <w:szCs w:val="21"/>
              </w:rPr>
              <w:t>四川省《中华人民共和国防沙治沙法》实施办法</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第二十三条：从事营利性治沙活动的单位和个人，依法向治理项目所在地的县级以上地方人民政府林业行政主管部门提出治理申请，并按经林业行政主管部门批准的治理方案进行治理。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firstLine="480" w:firstLineChars="200"/>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表2-73</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改变城市园林规划、绿地用地性质审批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0"/>
              <w:shd w:val="clear" w:color="auto" w:fill="FFFFFF"/>
              <w:spacing w:before="0" w:beforeAutospacing="0" w:after="225" w:afterAutospacing="0"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1.《四川省城市园林绿化条例》第三十一条：</w:t>
            </w:r>
            <w:r>
              <w:rPr>
                <w:rFonts w:ascii="Times New Roman" w:hAnsi="Times New Roman" w:cs="方正仿宋简体" w:eastAsiaTheme="minorEastAsia"/>
                <w:sz w:val="21"/>
                <w:szCs w:val="21"/>
              </w:rPr>
              <w:t>任何单位和个人，不得损坏城市树竹花草和园林绿化设施。因建设或者其他特殊需要移植、砍伐城市树木的，须经城市人民政府或其园林绿化行政主管部门批准，并按照国家有关规定补植树木或者采取其他补救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spacing w:line="360" w:lineRule="exact"/>
              <w:ind w:firstLine="420" w:firstLineChars="200"/>
              <w:textAlignment w:val="center"/>
              <w:rPr>
                <w:rFonts w:ascii="Times New Roman" w:hAnsi="Times New Roman" w:eastAsiaTheme="minorEastAsia"/>
                <w:kern w:val="0"/>
                <w:szCs w:val="21"/>
              </w:rPr>
            </w:pPr>
            <w:r>
              <w:rPr>
                <w:rFonts w:ascii="Times New Roman" w:hAnsi="Times New Roman" w:cs="方正仿宋简体" w:eastAsiaTheme="minorEastAsia"/>
                <w:kern w:val="0"/>
                <w:szCs w:val="21"/>
              </w:rPr>
              <w:t>4.</w:t>
            </w:r>
            <w:r>
              <w:rPr>
                <w:rFonts w:hint="eastAsia" w:ascii="Times New Roman" w:hAnsi="Times New Roman" w:cs="方正仿宋简体" w:eastAsiaTheme="minorEastAsia"/>
                <w:kern w:val="0"/>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p>
            <w:pPr>
              <w:pStyle w:val="19"/>
              <w:spacing w:line="360" w:lineRule="exact"/>
              <w:ind w:left="108" w:firstLine="420" w:firstLineChars="200"/>
              <w:textAlignment w:val="center"/>
              <w:rPr>
                <w:rFonts w:ascii="Times New Roman" w:hAnsi="Times New Roman" w:eastAsia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表2-74</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野生动物经营利用许可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四川省&lt;中华人民共和国野生动物保护法&gt;实施办法》第二十六条：禁止非法出售、收购、利用、加工、转让野生动物或其产品。因科学研究、养殖、展览、交换、赠送和其它特殊情况，需要出售、收购、利用、加工、转让的，属国家一级保护野生动物或其产品，须经省野生动物行政主管部门审核，报国务院野生动物行政主管部门或其授权单位批准；属国家二级和省重点保护野生动物或其产品，经市、州人民政府或地区行政公署野生动物行政主管部门审核，报省野生动物行政主管部门批准；属国有和省保护的有益的或者有重要经济、科学研究价值的野生动物或其产品，由市、州人民政府野生动物行政主管部门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20" w:firstLineChars="200"/>
        <w:rPr>
          <w:rFonts w:ascii="Times New Roman" w:hAnsi="Times New Roman" w:eastAsiaTheme="minorEastAsia"/>
        </w:rPr>
      </w:pPr>
    </w:p>
    <w:p>
      <w:pPr>
        <w:widowControl/>
        <w:spacing w:line="360" w:lineRule="exact"/>
        <w:ind w:firstLine="420" w:firstLineChars="200"/>
        <w:jc w:val="left"/>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表2-75</w:t>
      </w:r>
    </w:p>
    <w:tbl>
      <w:tblPr>
        <w:tblStyle w:val="12"/>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城市移植砍伐树木，临时占用城市园林绿地审批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6804" w:type="dxa"/>
          </w:tcPr>
          <w:p>
            <w:pPr>
              <w:pStyle w:val="19"/>
              <w:spacing w:line="360" w:lineRule="exact"/>
              <w:ind w:firstLine="420" w:firstLineChars="200"/>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1.《四川省城市园林绿化条例》第三十三条、第三十九条：任何单位和个人，不得损坏城市树竹花草和园林绿化设施。因建设或者其他特殊需要移植、砍伐城市树木的，须经城市人民政府或其园林绿化行政主管部门批准，并按照国家有关规定补植树木或者采取其他补救措施；百年以上树龄的树木，稀有、珍贵树木，具有历史价值或者重要纪念意义的树木均属古树名木。对城市古树名木实行统一管理，分别养护。城市人民政府园林绿化行政主管部门对古树名木应当建档挂牌，划定保护范围，加强养护管理。在单位管界内或者私人庭院内的古树名木，由该单位或者居民负责养护，城市人民政府园林绿化行政主管部门负责监督和技术指导。严禁砍伐或者迁移古树名木。因特殊需要迁移古树名木的，按下列规定报批：1.三百年以上和特别珍贵稀有或者具有重要历史价值和纪念意义的古树名木，由省人民政府城市建设行政主管部门审查，报省人民政府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6804"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6804"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rPr>
          <w:rFonts w:ascii="Times New Roman" w:hAnsi="Times New Roman"/>
          <w:sz w:val="24"/>
        </w:rPr>
      </w:pPr>
    </w:p>
    <w:p>
      <w:pPr>
        <w:widowControl/>
        <w:spacing w:line="360" w:lineRule="exact"/>
        <w:ind w:firstLine="480" w:firstLineChars="200"/>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sz w:val="24"/>
        </w:rPr>
      </w:pPr>
      <w:r>
        <w:rPr>
          <w:rFonts w:hint="eastAsia" w:ascii="Times New Roman" w:hAnsi="Times New Roman"/>
        </w:rPr>
        <w:t>表2-76</w:t>
      </w:r>
    </w:p>
    <w:tbl>
      <w:tblPr>
        <w:tblStyle w:val="12"/>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序号</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权力事项类型</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权力项目名称</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因特殊需要迁移古树名木审批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实施依据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fldChar w:fldCharType="begin"/>
            </w:r>
            <w:r>
              <w:instrText xml:space="preserve"> HYPERLINK "http://www.sc.gov.cn/10462/zcwjk/zcwjk.shtml?title=%E3%80%8A%E5%9B%9B%E5%B7%9D%E7%9C%81%E5%8F%A4%E6%A0%91%E5%90%8D%E6%9C%A8%E4%BF%9D%E6%8A%A4%E6%9D%A1%E4%BE%8B%E3%80%8B" \t "_blank" </w:instrText>
            </w:r>
            <w:r>
              <w:fldChar w:fldCharType="separate"/>
            </w:r>
            <w:r>
              <w:rPr>
                <w:rFonts w:hint="eastAsia" w:ascii="Times New Roman" w:hAnsi="Times New Roman" w:cs="方正仿宋简体" w:eastAsiaTheme="minorEastAsia"/>
                <w:sz w:val="21"/>
                <w:szCs w:val="21"/>
              </w:rPr>
              <w:t>《四川省古树名木保护条例》</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第二十九条、第三十条：有下列情形之一的，可以申请对古树名木进行移植，实行异地保护： （一）原生长环境发生改变不适宜古树名木继续生长，可能导致古树名木死亡的； （二）古树名木可能对公众生命安全造成危害，且无法采取防护措施消除隐患的； （三）因国家和省重点建设项目确实无法避让且无法对古树名木进行有效保护的。 移植古树名木应当制定移植方案，落实移植、养护费用，并按照有关法律、法规的规定审批；经批准移植的古树名木，应当按照批准的移植方案实施移植。符合本条例第二十九条第一款第一项、第二项的规定移植古树名木的，移植费用以及移植后五年内的养护费用按古树名木等级由县级以上地方人民政府承担；符合本条例第二十九条第一款第三项的规定移植古树名木的，移植费用以及移植后五年内的养护费用由申请移植单位承担。 移植后，古树名木所在地县（市、区）人民政府古树名木主管部门应当及时更新古树名木档案、办理移植登记并变更日常养护责任人。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责任主体</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1.受理责任：公示应当提交的材料，对书面申请材料进行形式审查，一次性告知补正材料，依法受理或不予受理（不予受理应当告知理由）。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2.审查责任：对书面申请材料进行审查，提出审核意见。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3.决定责任：在规定时限内，作出行政许可或者不予行政许可决定，法定告知（不予许可的应当书面告知理由）。</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4.</w:t>
            </w:r>
            <w:r>
              <w:rPr>
                <w:rFonts w:hint="eastAsia" w:ascii="Times New Roman" w:hAnsi="Times New Roman" w:cs="方正仿宋简体" w:eastAsiaTheme="minorEastAsia"/>
                <w:sz w:val="21"/>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责任事项依据</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ascii="Times New Roman" w:hAnsi="Times New Roman" w:cs="方正仿宋简体" w:eastAsiaTheme="minorEastAsia"/>
                <w:sz w:val="21"/>
                <w:szCs w:val="21"/>
              </w:rPr>
              <w:t>1</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《中华人民共和国行政许可法》</w:t>
            </w:r>
            <w:r>
              <w:rPr>
                <w:rFonts w:hint="eastAsia" w:ascii="Times New Roman" w:hAnsi="Times New Roman" w:cs="方正仿宋简体" w:eastAsiaTheme="minorEastAsia"/>
                <w:sz w:val="21"/>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w:t>
            </w:r>
            <w:r>
              <w:rPr>
                <w:rFonts w:ascii="Times New Roman" w:hAnsi="Times New Roman" w:cs="方正仿宋简体" w:eastAsiaTheme="minorEastAsia"/>
                <w:sz w:val="21"/>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3.</w:t>
            </w:r>
            <w:r>
              <w:rPr>
                <w:rFonts w:ascii="Times New Roman" w:hAnsi="Times New Roman" w:cs="方正仿宋简体" w:eastAsiaTheme="minorEastAsia"/>
                <w:sz w:val="21"/>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4.</w:t>
            </w:r>
            <w:r>
              <w:rPr>
                <w:rFonts w:ascii="Times New Roman" w:hAnsi="Times New Roman" w:cs="方正仿宋简体" w:eastAsiaTheme="minorEastAsia"/>
                <w:sz w:val="21"/>
                <w:szCs w:val="21"/>
              </w:rPr>
              <w:t>《中华人民共和国行政许可法》第四十条：“行政机关作出准予行政许可的决定，应当予以公开，公众有权查阅。”</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w:t>
            </w:r>
            <w:r>
              <w:rPr>
                <w:rFonts w:ascii="Times New Roman" w:hAnsi="Times New Roman" w:cs="方正仿宋简体" w:eastAsiaTheme="minorEastAsia"/>
                <w:sz w:val="21"/>
                <w:szCs w:val="21"/>
              </w:rPr>
              <w:t>《中华人民共和国行政许可法》第四十四条：“行政机关作出准予行政许可的决定，应当自作出决定之日起十日内向申请人颁发、送达行政许可证件，或者加贴标签、加盖检验、检测、检疫印章。”</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6.成都市成华区人民政府关于印发《成华区相对集中行政许可权改革工作实施方案》的通知（成华府发〔2019〕3号）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8" w:type="dxa"/>
            <w:vAlign w:val="center"/>
          </w:tcPr>
          <w:p>
            <w:pPr>
              <w:spacing w:line="360" w:lineRule="exact"/>
              <w:jc w:val="center"/>
              <w:textAlignment w:val="center"/>
              <w:rPr>
                <w:rFonts w:ascii="Times New Roman" w:hAnsi="Times New Roman" w:eastAsiaTheme="minorEastAsia"/>
                <w:szCs w:val="21"/>
              </w:rPr>
            </w:pPr>
          </w:p>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追责情形</w:t>
            </w:r>
          </w:p>
        </w:tc>
        <w:tc>
          <w:tcPr>
            <w:tcW w:w="7087"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Align w:val="center"/>
          </w:tcPr>
          <w:p>
            <w:pPr>
              <w:spacing w:line="360" w:lineRule="exact"/>
              <w:jc w:val="center"/>
              <w:textAlignment w:val="center"/>
              <w:rPr>
                <w:rFonts w:ascii="Times New Roman" w:hAnsi="Times New Roman" w:eastAsiaTheme="minorEastAsia"/>
                <w:szCs w:val="21"/>
              </w:rPr>
            </w:pPr>
            <w:r>
              <w:rPr>
                <w:rFonts w:hint="eastAsia" w:ascii="Times New Roman" w:hAnsi="Times New Roman" w:eastAsiaTheme="minorEastAsia"/>
                <w:szCs w:val="21"/>
              </w:rPr>
              <w:t>监督电话</w:t>
            </w:r>
          </w:p>
        </w:tc>
        <w:tc>
          <w:tcPr>
            <w:tcW w:w="7087"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firstLine="420" w:firstLineChars="200"/>
        <w:rPr>
          <w:rFonts w:ascii="Times New Roman" w:hAnsi="Times New Roman" w:eastAsiaTheme="minorEastAsia"/>
        </w:rPr>
      </w:pPr>
    </w:p>
    <w:p>
      <w:pPr>
        <w:widowControl/>
        <w:spacing w:line="360" w:lineRule="exact"/>
        <w:ind w:firstLine="420" w:firstLineChars="200"/>
        <w:jc w:val="left"/>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表2-77</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母婴保健技术服务机构执业许可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84"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1.《中华人民共和国母婴保健法》第三十二条:“</w:t>
            </w:r>
            <w:r>
              <w:rPr>
                <w:rFonts w:ascii="Times New Roman" w:hAnsi="Times New Roman" w:eastAsiaTheme="minorEastAsia"/>
                <w:szCs w:val="21"/>
              </w:rPr>
              <w:t>医疗保健机构依照本法规定开展婚前医学检查、遗传病诊断、产前诊断以及施行结扎手术和终止妊娠手术的，必须符合国务院卫生行政部门规定的条件和技术标准，并经县级以上地方人民政府卫生行政部门许可。严禁采用技术手段对胎儿进行性别鉴定，但医学上确有需要的除外。</w:t>
            </w:r>
            <w:r>
              <w:rPr>
                <w:rFonts w:hint="eastAsia" w:ascii="Times New Roman" w:hAnsi="Times New Roman" w:eastAsiaTheme="minorEastAsia"/>
                <w:szCs w:val="21"/>
              </w:rPr>
              <w:t>”</w:t>
            </w:r>
          </w:p>
          <w:p>
            <w:pPr>
              <w:pStyle w:val="10"/>
              <w:shd w:val="clear" w:color="auto" w:fill="FFFFFF"/>
              <w:spacing w:before="0" w:beforeAutospacing="0" w:after="225" w:afterAutospacing="0" w:line="360" w:lineRule="exact"/>
              <w:ind w:firstLine="420" w:firstLineChars="200"/>
              <w:rPr>
                <w:rFonts w:ascii="Times New Roman" w:hAnsi="Times New Roman" w:cs="Times New Roman" w:eastAsiaTheme="minorEastAsia"/>
                <w:kern w:val="2"/>
                <w:sz w:val="21"/>
                <w:szCs w:val="21"/>
              </w:rPr>
            </w:pPr>
            <w:r>
              <w:rPr>
                <w:rFonts w:hint="eastAsia" w:ascii="Times New Roman" w:hAnsi="Times New Roman" w:cs="Times New Roman" w:eastAsiaTheme="minorEastAsia"/>
                <w:kern w:val="2"/>
                <w:sz w:val="21"/>
                <w:szCs w:val="21"/>
              </w:rPr>
              <w:t>2.《中华人民共和国母婴保健法实施办法》（</w:t>
            </w:r>
            <w:r>
              <w:rPr>
                <w:rFonts w:ascii="Times New Roman" w:hAnsi="Times New Roman" w:cs="Times New Roman" w:eastAsiaTheme="minorEastAsia"/>
                <w:kern w:val="2"/>
                <w:sz w:val="21"/>
                <w:szCs w:val="21"/>
              </w:rPr>
              <w:t>中华人民共和国国务院令第690号</w:t>
            </w:r>
            <w:r>
              <w:rPr>
                <w:rFonts w:hint="eastAsia" w:ascii="Times New Roman" w:hAnsi="Times New Roman" w:cs="Times New Roman" w:eastAsiaTheme="minorEastAsia"/>
                <w:kern w:val="2"/>
                <w:sz w:val="21"/>
                <w:szCs w:val="21"/>
              </w:rPr>
              <w:t>，</w:t>
            </w:r>
            <w:r>
              <w:rPr>
                <w:rFonts w:ascii="Times New Roman" w:hAnsi="Times New Roman" w:cs="Times New Roman" w:eastAsiaTheme="minorEastAsia"/>
                <w:kern w:val="2"/>
                <w:sz w:val="21"/>
                <w:szCs w:val="21"/>
              </w:rPr>
              <w:t>2017年11月17日</w:t>
            </w:r>
            <w:r>
              <w:rPr>
                <w:rFonts w:hint="eastAsia" w:ascii="Times New Roman" w:hAnsi="Times New Roman" w:cs="Times New Roman" w:eastAsiaTheme="minorEastAsia"/>
                <w:kern w:val="2"/>
                <w:sz w:val="21"/>
                <w:szCs w:val="21"/>
              </w:rPr>
              <w:t>）第三十四条：“</w:t>
            </w:r>
            <w:r>
              <w:rPr>
                <w:rFonts w:ascii="Times New Roman" w:hAnsi="Times New Roman" w:cs="Times New Roman" w:eastAsiaTheme="minorEastAsia"/>
                <w:kern w:val="2"/>
                <w:sz w:val="21"/>
                <w:szCs w:val="21"/>
              </w:rPr>
              <w:t>县级以上地方人民政府卫生行政部门负责本行政区域内的母婴保健监督管理工作，履行下列监督管理职责:(一)依照母婴保健法和本办法以及国务院卫生行政部门规定的条件和技术标准，对从事母婴保健工作的机构和人员实施许可，并核发相应的许可证书;(二)对母婴保健法和本办法的执行情况进行监督检查;(三)对违反母婴保健法和本办法的行为，依法给予行政处罚;(四)负责母婴保健工作监督管理的其他事项。</w:t>
            </w:r>
            <w:r>
              <w:rPr>
                <w:rFonts w:hint="eastAsia" w:ascii="Times New Roman" w:hAnsi="Times New Roman" w:cs="Times New Roman" w:eastAsiaTheme="minorEastAsia"/>
                <w:kern w:val="2"/>
                <w:sz w:val="21"/>
                <w:szCs w:val="21"/>
              </w:rPr>
              <w:t>”</w:t>
            </w:r>
            <w:r>
              <w:rPr>
                <w:rFonts w:ascii="Times New Roman" w:hAnsi="Times New Roman" w:cs="Times New Roman" w:eastAsiaTheme="minorEastAsia"/>
                <w:kern w:val="2"/>
                <w:sz w:val="21"/>
                <w:szCs w:val="21"/>
              </w:rPr>
              <w:t>第三十五条</w:t>
            </w:r>
            <w:r>
              <w:rPr>
                <w:rFonts w:hint="eastAsia" w:ascii="Times New Roman" w:hAnsi="Times New Roman" w:cs="Times New Roman" w:eastAsiaTheme="minorEastAsia"/>
                <w:kern w:val="2"/>
                <w:sz w:val="21"/>
                <w:szCs w:val="21"/>
              </w:rPr>
              <w:t>：“</w:t>
            </w:r>
            <w:r>
              <w:rPr>
                <w:rFonts w:ascii="Times New Roman" w:hAnsi="Times New Roman" w:cs="Times New Roman" w:eastAsiaTheme="minorEastAsia"/>
                <w:kern w:val="2"/>
                <w:sz w:val="21"/>
                <w:szCs w:val="21"/>
              </w:rPr>
              <w:t>从事遗传病诊断、产前诊断的医疗、保健机构和人员，须经省、自治区、直辖市人民政府卫生行政部门许可。从事婚前医学检查的医疗、保健机构和人员，须经设区的市级人民政府卫生行政部门许可。从事</w:t>
            </w:r>
            <w:r>
              <w:fldChar w:fldCharType="begin"/>
            </w:r>
            <w:r>
              <w:instrText xml:space="preserve"> HYPERLINK "https://baike.so.com/doc/6679446-6893336.html" \t "_blank" </w:instrText>
            </w:r>
            <w:r>
              <w:fldChar w:fldCharType="separate"/>
            </w:r>
            <w:r>
              <w:rPr>
                <w:rStyle w:val="16"/>
                <w:rFonts w:ascii="Times New Roman" w:hAnsi="Times New Roman"/>
                <w:color w:val="auto"/>
                <w:u w:val="none"/>
              </w:rPr>
              <w:t>助产</w:t>
            </w:r>
            <w:r>
              <w:rPr>
                <w:rStyle w:val="16"/>
                <w:rFonts w:ascii="Times New Roman" w:hAnsi="Times New Roman"/>
                <w:color w:val="auto"/>
                <w:u w:val="none"/>
              </w:rPr>
              <w:fldChar w:fldCharType="end"/>
            </w:r>
            <w:r>
              <w:rPr>
                <w:rFonts w:ascii="Times New Roman" w:hAnsi="Times New Roman" w:cs="Times New Roman" w:eastAsiaTheme="minorEastAsia"/>
                <w:kern w:val="2"/>
                <w:sz w:val="21"/>
                <w:szCs w:val="21"/>
              </w:rPr>
              <w:t>技术服务、结扎手术和</w:t>
            </w:r>
            <w:r>
              <w:fldChar w:fldCharType="begin"/>
            </w:r>
            <w:r>
              <w:instrText xml:space="preserve"> HYPERLINK "https://baike.so.com/doc/5347580-5583027.html" \t "_blank" </w:instrText>
            </w:r>
            <w:r>
              <w:fldChar w:fldCharType="separate"/>
            </w:r>
            <w:r>
              <w:rPr>
                <w:rStyle w:val="16"/>
                <w:rFonts w:ascii="Times New Roman" w:hAnsi="Times New Roman"/>
                <w:color w:val="auto"/>
                <w:u w:val="none"/>
              </w:rPr>
              <w:t>终止妊娠</w:t>
            </w:r>
            <w:r>
              <w:rPr>
                <w:rStyle w:val="16"/>
                <w:rFonts w:ascii="Times New Roman" w:hAnsi="Times New Roman"/>
                <w:color w:val="auto"/>
                <w:u w:val="none"/>
              </w:rPr>
              <w:fldChar w:fldCharType="end"/>
            </w:r>
            <w:r>
              <w:rPr>
                <w:rFonts w:ascii="Times New Roman" w:hAnsi="Times New Roman" w:cs="Times New Roman" w:eastAsiaTheme="minorEastAsia"/>
                <w:kern w:val="2"/>
                <w:sz w:val="21"/>
                <w:szCs w:val="21"/>
              </w:rPr>
              <w:t>手术的医疗、保健机构和人员，须经县级人民政府卫生行政部门许可，并取得相应的合格证书。</w:t>
            </w:r>
            <w:r>
              <w:rPr>
                <w:rFonts w:hint="eastAsia" w:ascii="Times New Roman" w:hAnsi="Times New Roman" w:eastAsiaTheme="minorEastAsia"/>
                <w:sz w:val="21"/>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3.《母婴保健专项技术服务许可及人员资格管理办法》（1995年8月7日卫妇发〔1995〕第7号公布；根据2019年2月28日《</w:t>
            </w:r>
            <w:r>
              <w:fldChar w:fldCharType="begin"/>
            </w:r>
            <w:r>
              <w:instrText xml:space="preserve"> HYPERLINK "https://www.waizi.org.cn/doc/64073.html" \t "_blank" \o "《国家卫生健康委关于修改〈职业健康检查管理办法〉等4件部门规章的决定》国家卫生健康委员会令第2号" </w:instrText>
            </w:r>
            <w:r>
              <w:fldChar w:fldCharType="separate"/>
            </w:r>
            <w:r>
              <w:rPr>
                <w:rStyle w:val="16"/>
                <w:rFonts w:hint="eastAsia" w:ascii="Times New Roman" w:hAnsi="Times New Roman"/>
                <w:color w:val="auto"/>
                <w:u w:val="none"/>
              </w:rPr>
              <w:t>国家卫生健康委关于修改〈职业健康检查管理办法〉等4件部门规章的决定</w:t>
            </w:r>
            <w:r>
              <w:rPr>
                <w:rStyle w:val="16"/>
                <w:rFonts w:hint="eastAsia" w:ascii="Times New Roman" w:hAnsi="Times New Roman"/>
                <w:color w:val="auto"/>
                <w:u w:val="none"/>
              </w:rPr>
              <w:fldChar w:fldCharType="end"/>
            </w:r>
            <w:r>
              <w:rPr>
                <w:rFonts w:hint="eastAsia" w:ascii="Times New Roman" w:hAnsi="Times New Roman" w:eastAsiaTheme="minorEastAsia"/>
                <w:szCs w:val="21"/>
              </w:rPr>
              <w:t>》第一次修订；根据2021年1 月8日</w:t>
            </w:r>
            <w:r>
              <w:fldChar w:fldCharType="begin"/>
            </w:r>
            <w:r>
              <w:instrText xml:space="preserve"> HYPERLINK "https://www.waizi.org.cn/doc/98978.html" </w:instrText>
            </w:r>
            <w:r>
              <w:fldChar w:fldCharType="separate"/>
            </w:r>
            <w:r>
              <w:rPr>
                <w:rStyle w:val="16"/>
                <w:rFonts w:hint="eastAsia" w:ascii="Times New Roman" w:hAnsi="Times New Roman"/>
                <w:color w:val="auto"/>
                <w:u w:val="none"/>
              </w:rPr>
              <w:t>《国家卫生健康委关于修改和废止〈母婴保健专项技术服务许可及人员资格管理办法〉等3件部门规章的决定》</w:t>
            </w:r>
            <w:r>
              <w:rPr>
                <w:rStyle w:val="16"/>
                <w:rFonts w:hint="eastAsia" w:ascii="Times New Roman" w:hAnsi="Times New Roman"/>
                <w:color w:val="auto"/>
                <w:u w:val="none"/>
              </w:rPr>
              <w:fldChar w:fldCharType="end"/>
            </w:r>
            <w:r>
              <w:rPr>
                <w:rFonts w:hint="eastAsia" w:ascii="Times New Roman" w:hAnsi="Times New Roman" w:eastAsiaTheme="minorEastAsia"/>
                <w:szCs w:val="21"/>
              </w:rPr>
              <w:t>第二次修订）第二条：“ 凡开展《</w:t>
            </w:r>
            <w:r>
              <w:fldChar w:fldCharType="begin"/>
            </w:r>
            <w:r>
              <w:instrText xml:space="preserve"> HYPERLINK "https://www.waizi.org.cn/doc/25965.html" \t "_blank" \o "《中华人民共和国母婴保健法》2017年修订版（全文）" </w:instrText>
            </w:r>
            <w:r>
              <w:fldChar w:fldCharType="separate"/>
            </w:r>
            <w:r>
              <w:rPr>
                <w:rStyle w:val="16"/>
                <w:rFonts w:hint="eastAsia" w:ascii="Times New Roman" w:hAnsi="Times New Roman"/>
                <w:color w:val="auto"/>
                <w:u w:val="none"/>
              </w:rPr>
              <w:t>中华人民共和国母婴保健法</w:t>
            </w:r>
            <w:r>
              <w:rPr>
                <w:rStyle w:val="16"/>
                <w:rFonts w:hint="eastAsia" w:ascii="Times New Roman" w:hAnsi="Times New Roman"/>
                <w:color w:val="auto"/>
                <w:u w:val="none"/>
              </w:rPr>
              <w:fldChar w:fldCharType="end"/>
            </w:r>
            <w:r>
              <w:rPr>
                <w:rFonts w:hint="eastAsia" w:ascii="Times New Roman" w:hAnsi="Times New Roman" w:eastAsiaTheme="minorEastAsia"/>
                <w:szCs w:val="21"/>
              </w:rPr>
              <w:t>》及其实施办法规定的婚前医学检查、遗传病诊断、产前诊断、施行助产技术、结扎手术和终止妊娠手术技术服务的医疗保健机构，必须符合本办法规定的条件，经卫生健康主管部门审查批准，取得《母婴保健技术服务执业许可证》。”第三条：“施行助产技术、结扎手术、终止妊娠手术的机构和人员的审批，由县级卫生健康主管部门负责；开展婚前医学检查的机构和人员的审批，由设区的市级卫生健康主管部门负责；开展遗传病诊断、产前诊断的机构和人员的审批，由省级卫生健康主管部门负责。”第五条：“申请婚前医学检查、遗传病诊断、产前诊断以及施行助产技术、结扎手术、终止妊娠手术许可的医疗保健机构，必须向审批机关提交《母婴保健技术服务执业许可申请登记书》并交验下列材料：（一）《医疗机构执业许可证》及其副本；（二）有关医师的《母婴保健技术考核合格证书》或者加注母婴保健技术考核合格及技术类别的《医师执业证书》；（三）可行性报告；（四）与拟开展母婴保健专项技术相应的技术、设备条件及人员配备情况；（五）开展母婴保健专项技术的规章制度；（六）法律法规规章规定的其他材料。”第六条：“审批机关受理申请后，应当在45日内，按照本办法规定的条件及母婴保健专项技术服务基本标准进行审查和核实。经审核合格的，发给《母婴保健技术服务执业许可证》；审核不合格的，将审核结果和理由以书面形式通知申请人。” 第六条：“《母婴保健技术服务执业许可证》每3年校验1次，校验由原登记机关办理。”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母婴保健技术服务执业许可</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母婴保健技术服务执业许可</w:t>
            </w:r>
            <w:r>
              <w:rPr>
                <w:rFonts w:ascii="Times New Roman" w:hAnsi="Times New Roman" w:eastAsiaTheme="minorEastAsia"/>
                <w:szCs w:val="21"/>
              </w:rPr>
              <w:t>书面申请材料</w:t>
            </w:r>
            <w:r>
              <w:rPr>
                <w:rFonts w:hint="eastAsia" w:ascii="Times New Roman" w:hAnsi="Times New Roman" w:eastAsiaTheme="minorEastAsia"/>
                <w:szCs w:val="21"/>
              </w:rPr>
              <w:t>和现场设置</w:t>
            </w:r>
            <w:r>
              <w:rPr>
                <w:rFonts w:ascii="Times New Roman" w:hAnsi="Times New Roman" w:eastAsiaTheme="minorEastAsia"/>
                <w:szCs w:val="21"/>
              </w:rPr>
              <w:t>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对申请母婴保健技术服务执业许可的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numPr>
                <w:ilvl w:val="0"/>
                <w:numId w:val="1"/>
              </w:num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《母婴保健专项技术服务许可及人员资格管理办法》（1995年8月7日卫妇发〔1995〕第7号公布；根据2019年2月28日《</w:t>
            </w:r>
            <w:r>
              <w:fldChar w:fldCharType="begin"/>
            </w:r>
            <w:r>
              <w:instrText xml:space="preserve"> HYPERLINK "https://www.waizi.org.cn/doc/64073.html" \t "_blank" \o "《国家卫生健康委关于修改〈职业健康检查管理办法〉等4件部门规章的决定》国家卫生健康委员会令第2号" </w:instrText>
            </w:r>
            <w:r>
              <w:fldChar w:fldCharType="separate"/>
            </w:r>
            <w:r>
              <w:rPr>
                <w:rStyle w:val="16"/>
                <w:rFonts w:hint="eastAsia" w:ascii="Times New Roman" w:hAnsi="Times New Roman"/>
                <w:color w:val="auto"/>
                <w:u w:val="none"/>
              </w:rPr>
              <w:t>国家卫生健康委关于修改〈职业健康检查管理办法〉等4件部门规章的决定</w:t>
            </w:r>
            <w:r>
              <w:rPr>
                <w:rStyle w:val="16"/>
                <w:rFonts w:hint="eastAsia" w:ascii="Times New Roman" w:hAnsi="Times New Roman"/>
                <w:color w:val="auto"/>
                <w:u w:val="none"/>
              </w:rPr>
              <w:fldChar w:fldCharType="end"/>
            </w:r>
            <w:r>
              <w:rPr>
                <w:rFonts w:hint="eastAsia" w:ascii="Times New Roman" w:hAnsi="Times New Roman" w:eastAsiaTheme="minorEastAsia"/>
                <w:szCs w:val="21"/>
              </w:rPr>
              <w:t>》第一次修订；根据2021年1 月8日</w:t>
            </w:r>
            <w:r>
              <w:fldChar w:fldCharType="begin"/>
            </w:r>
            <w:r>
              <w:instrText xml:space="preserve"> HYPERLINK "https://www.waizi.org.cn/doc/98978.html" </w:instrText>
            </w:r>
            <w:r>
              <w:fldChar w:fldCharType="separate"/>
            </w:r>
            <w:r>
              <w:rPr>
                <w:rStyle w:val="16"/>
                <w:rFonts w:hint="eastAsia" w:ascii="Times New Roman" w:hAnsi="Times New Roman"/>
                <w:color w:val="auto"/>
                <w:u w:val="none"/>
              </w:rPr>
              <w:t>《国家卫生健康委关于修改和废止〈母婴保健专项技术服务许可及人员资格管理办法〉等3件部门规章的决定》</w:t>
            </w:r>
            <w:r>
              <w:rPr>
                <w:rStyle w:val="16"/>
                <w:rFonts w:hint="eastAsia" w:ascii="Times New Roman" w:hAnsi="Times New Roman"/>
                <w:color w:val="auto"/>
                <w:u w:val="none"/>
              </w:rPr>
              <w:fldChar w:fldCharType="end"/>
            </w:r>
            <w:r>
              <w:rPr>
                <w:rFonts w:hint="eastAsia" w:ascii="Times New Roman" w:hAnsi="Times New Roman" w:eastAsiaTheme="minorEastAsia"/>
                <w:szCs w:val="21"/>
              </w:rPr>
              <w:t>第二次修订）第六条：“</w:t>
            </w:r>
            <w:r>
              <w:rPr>
                <w:rFonts w:ascii="Times New Roman" w:hAnsi="Times New Roman" w:eastAsiaTheme="minorEastAsia"/>
                <w:szCs w:val="21"/>
              </w:rPr>
              <w:t>审批机关受理申请后，应当在60日内，按照本办法规定的条件及《母婴保健专项技术服务基本标准》进行审查和核实。经审核合格的，发给《母婴保健技术服务执业许可证》；审核不合格的，将审核结果和理由以书面形式通知申请人。</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对不履行或不正确履行行政职责的行政机关及其工作人员，依据《中华人民共和国行政监察法》、《中华人民共和国行政许可法》、《四川省行政审批违法违纪行为责任追究办法》、</w:t>
            </w:r>
            <w:r>
              <w:rPr>
                <w:rFonts w:hint="eastAsia" w:ascii="Times New Roman" w:hAnsi="Times New Roman" w:eastAsiaTheme="minorEastAsia"/>
                <w:szCs w:val="21"/>
              </w:rPr>
              <w:t>《四川省〈中华人民共和国母婴保健法〉实施办法》</w:t>
            </w:r>
            <w:r>
              <w:rPr>
                <w:rFonts w:ascii="Times New Roman" w:hAnsi="Times New Roman" w:eastAsiaTheme="minorEastAsia"/>
                <w:szCs w:val="21"/>
              </w:rPr>
              <w:t>、《四川省行政机关工作人员行政过错责任追究试行办法》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widowControl/>
        <w:spacing w:line="360" w:lineRule="exact"/>
        <w:jc w:val="lef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表2-78</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母婴保健服务人员资格认定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1.《中华人民共和国母婴保健法》（中华人民共和国主席令第33号1994年10月）第三十三条：“从事本办法规定的遗传病诊断、产前诊断的人员，必须经过省、自会去、时下是人民政府卫生行政部门的考核，并取得相应的合格证书。”</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2.《中华人民共和国母婴保健法实施办法》（国务院令308号，2001年6月20日）</w:t>
            </w:r>
            <w:r>
              <w:rPr>
                <w:rFonts w:ascii="Times New Roman" w:hAnsi="Times New Roman" w:eastAsiaTheme="minorEastAsia"/>
                <w:szCs w:val="21"/>
              </w:rPr>
              <w:t>第三十五条</w:t>
            </w:r>
            <w:r>
              <w:rPr>
                <w:rFonts w:hint="eastAsia" w:ascii="Times New Roman" w:hAnsi="Times New Roman" w:eastAsiaTheme="minorEastAsia"/>
                <w:szCs w:val="21"/>
              </w:rPr>
              <w:t>：“</w:t>
            </w:r>
            <w:r>
              <w:rPr>
                <w:rFonts w:ascii="Times New Roman" w:hAnsi="Times New Roman" w:eastAsiaTheme="minorEastAsia"/>
                <w:szCs w:val="21"/>
              </w:rPr>
              <w:t>从事遗传病诊断、产前诊断的医疗、保健机构和人员，须经省、自治区、直辖市人民政府卫生行政部门许可</w:t>
            </w:r>
            <w:r>
              <w:rPr>
                <w:rFonts w:hint="eastAsia" w:ascii="Times New Roman" w:hAnsi="Times New Roman" w:eastAsiaTheme="minorEastAsia"/>
                <w:szCs w:val="21"/>
              </w:rPr>
              <w:t>。</w:t>
            </w:r>
            <w:r>
              <w:rPr>
                <w:rFonts w:ascii="Times New Roman" w:hAnsi="Times New Roman" w:eastAsiaTheme="minorEastAsia"/>
                <w:szCs w:val="21"/>
              </w:rPr>
              <w:t>从事婚前医学检查的医疗、保健机构和人员，须经设区的市级人民政府卫生行政部门许可。从事助产技术服务、结扎手术和终止妊娠手术的医疗、保健机构和人员以及从事家庭接生的人员，须经县级人民政府卫生行政部门许可，并取得相应的合格证书。</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四川省〈中华人民共和国母婴保健法〉实施办法》（四川省第九届人大常委会第二十八次会议修正，2002月3月30日）第十一条：“经许可的医疗保健机构，由卫生行政部门颁发专项技术服务许可证；其专业技术人员经考核具备相应资格的，由卫生行政部门颁发专项技术服务合格证。许可和发证的具体办法，由省卫生行政部门制定。”</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4.《母婴保健专项技术服务许可及人员资格管理办法》（1995年8月7日卫生部发布）第十条：“</w:t>
            </w:r>
            <w:r>
              <w:rPr>
                <w:rFonts w:ascii="Times New Roman" w:hAnsi="Times New Roman" w:eastAsiaTheme="minorEastAsia"/>
                <w:szCs w:val="21"/>
              </w:rPr>
              <w:t>凡从事《中华人民共和国母婴保健法》规定的婚前医学检查、遗传病诊断、产前诊断、施行结扎手术和终止妊娠手术以及家庭接生技术服务的人员，必须符合《母婴保健专项技术服务基本标准》的有关规定，经考核合格，取得《母婴保健技术考核合格证书》、《家庭接生员技术合格证书》。</w:t>
            </w:r>
            <w:r>
              <w:rPr>
                <w:rFonts w:hint="eastAsia" w:ascii="Times New Roman" w:hAnsi="Times New Roman" w:eastAsiaTheme="minorEastAsia"/>
                <w:szCs w:val="21"/>
              </w:rPr>
              <w:t>”第十一条：“</w:t>
            </w:r>
            <w:r>
              <w:rPr>
                <w:rFonts w:ascii="Times New Roman" w:hAnsi="Times New Roman" w:eastAsiaTheme="minorEastAsia"/>
                <w:szCs w:val="21"/>
              </w:rPr>
              <w:t>从事遗传病诊断、产前诊断技术服务人员的资格考核，由省级卫生行政部门负责；从事婚前医学检查技术服务人员的资格考核，由设区的市级以上卫生行政部门负责；结扎手术和终止妊娠手术以及从事家庭接生技术服务人员的资格考核，由县级以上地方卫生行政部门负责。母婴保健技术人员资格考核内容由卫生部规定。</w:t>
            </w:r>
            <w:r>
              <w:rPr>
                <w:rFonts w:hint="eastAsia" w:ascii="Times New Roman" w:hAnsi="Times New Roman" w:eastAsiaTheme="minorEastAsia"/>
                <w:szCs w:val="21"/>
              </w:rPr>
              <w:t>”第十七条：“</w:t>
            </w:r>
            <w:r>
              <w:rPr>
                <w:rFonts w:ascii="Times New Roman" w:hAnsi="Times New Roman" w:eastAsiaTheme="minorEastAsia"/>
                <w:szCs w:val="21"/>
              </w:rPr>
              <w:t>本办法实施前已经开展婚前医学检查、遗传病诊断、产前诊断以及施行结扎手术和终止妊娠手术的医师，经考核认定，发给《母婴保健技术考核合格证书》。已从事家庭接生的人员，经考核认定，发给《家庭接生员技术合格证书》。具体办法由省、自治区、直辖市卫生行政部门规定。</w:t>
            </w:r>
            <w:r>
              <w:rPr>
                <w:rFonts w:hint="eastAsia" w:ascii="Times New Roman" w:hAnsi="Times New Roman" w:eastAsia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1.受理责任：公示母婴保健服务人员资格认定应当提交的材料，对书面申请材料进行形式审查，一次性告知补正材料，依法受理或不予受理（不予受理应当告知理由）。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2.审查责任：对母婴保健服务人员资格认定书面申请材料进行审查，提出审核意见。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3.决定责任：在规定时限内，对申请母婴保健服务人员资格认定的作出行政许可或者不予行政许可决定，法定告知（不予许可的应当书面告知理由）。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w:t>
            </w:r>
            <w:r>
              <w:rPr>
                <w:rFonts w:ascii="Times New Roman" w:hAnsi="Times New Roman" w:eastAsiaTheme="minorEastAsia"/>
                <w:szCs w:val="21"/>
              </w:rPr>
              <w:t>《中华人民共和国行政许可法》第三十</w:t>
            </w:r>
            <w:r>
              <w:rPr>
                <w:rFonts w:hint="eastAsia" w:ascii="Times New Roman" w:hAnsi="Times New Roman" w:eastAsiaTheme="minorEastAsia"/>
                <w:szCs w:val="21"/>
              </w:rPr>
              <w:t>七</w:t>
            </w:r>
            <w:r>
              <w:rPr>
                <w:rFonts w:ascii="Times New Roman" w:hAnsi="Times New Roman" w:eastAsiaTheme="minorEastAsia"/>
                <w:szCs w:val="21"/>
              </w:rPr>
              <w:t>条：“</w:t>
            </w:r>
            <w:r>
              <w:rPr>
                <w:rFonts w:hint="eastAsia" w:ascii="Times New Roman" w:hAnsi="Times New Roman" w:eastAsiaTheme="minorEastAsia"/>
                <w:szCs w:val="21"/>
              </w:rPr>
              <w:t>行政机关对行政许可申请进行审查后，除当场作出行政许可决定的外，应当在法定期限内按照规定程序作出行政许可决定。”</w:t>
            </w:r>
            <w:r>
              <w:rPr>
                <w:rFonts w:ascii="Times New Roman" w:hAnsi="Times New Roman" w:eastAsiaTheme="minorEastAsia"/>
                <w:szCs w:val="21"/>
              </w:rPr>
              <w:t>第三十</w:t>
            </w:r>
            <w:r>
              <w:rPr>
                <w:rFonts w:hint="eastAsia" w:ascii="Times New Roman" w:hAnsi="Times New Roman" w:eastAsiaTheme="minorEastAsia"/>
                <w:szCs w:val="21"/>
              </w:rPr>
              <w:t>八</w:t>
            </w:r>
            <w:r>
              <w:rPr>
                <w:rFonts w:ascii="Times New Roman" w:hAnsi="Times New Roman" w:eastAsiaTheme="minorEastAsia"/>
                <w:szCs w:val="21"/>
              </w:rPr>
              <w:t>条：“</w:t>
            </w:r>
            <w:r>
              <w:rPr>
                <w:rFonts w:hint="eastAsia" w:ascii="Times New Roman" w:hAnsi="Times New Roman" w:eastAsiaTheme="minorEastAsia"/>
                <w:szCs w:val="21"/>
              </w:rPr>
              <w:t>申请人的申请符合法定条件、标准的，行政机关应当依法作出准予行政许可的书面决定。行政机关依法作出不予行政许可的书面决定的，应当说明理由，并告知申请人享有依法申请行政复议或者提起行政诉讼的权利。”</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《四川省〈中华人民共和国母婴保健法〉实施办法》《</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spacing w:line="360" w:lineRule="exac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表2-79</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医疗机构执业登记（人体器官移植除外）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pStyle w:val="10"/>
              <w:shd w:val="clear" w:color="auto" w:fill="FFFFFF"/>
              <w:spacing w:before="0" w:beforeAutospacing="0" w:after="225" w:afterAutospacing="0" w:line="360" w:lineRule="exact"/>
              <w:ind w:firstLine="420" w:firstLineChars="200"/>
              <w:rPr>
                <w:rFonts w:ascii="Times New Roman" w:hAnsi="Times New Roman" w:cs="Arial" w:eastAsiaTheme="minorEastAsia"/>
                <w:sz w:val="21"/>
                <w:szCs w:val="21"/>
              </w:rPr>
            </w:pPr>
            <w:r>
              <w:rPr>
                <w:rFonts w:hint="eastAsia" w:ascii="Times New Roman" w:hAnsi="Times New Roman" w:cs="Arial" w:eastAsiaTheme="minorEastAsia"/>
                <w:sz w:val="21"/>
                <w:szCs w:val="21"/>
              </w:rPr>
              <w:t>1、《医疗机构管理条例》（国务院关于修改部分行政法规的决定，国务院令第666号，2016年2月6日）第十五条：“</w:t>
            </w:r>
            <w:r>
              <w:rPr>
                <w:rFonts w:ascii="Times New Roman" w:hAnsi="Times New Roman" w:cs="Arial" w:eastAsiaTheme="minorEastAsia"/>
                <w:sz w:val="21"/>
                <w:szCs w:val="21"/>
              </w:rPr>
              <w:t>医疗机构执业，必须进行登记，领取《医疗机构执业许可证》。</w:t>
            </w:r>
            <w:r>
              <w:rPr>
                <w:rFonts w:hint="eastAsia" w:ascii="Times New Roman" w:hAnsi="Times New Roman" w:cs="Arial" w:eastAsiaTheme="minorEastAsia"/>
                <w:sz w:val="21"/>
                <w:szCs w:val="21"/>
              </w:rPr>
              <w:t>”第十七条：“</w:t>
            </w:r>
            <w:r>
              <w:rPr>
                <w:rFonts w:ascii="Times New Roman" w:hAnsi="Times New Roman" w:cs="Arial" w:eastAsiaTheme="minorEastAsia"/>
                <w:sz w:val="21"/>
                <w:szCs w:val="21"/>
              </w:rPr>
              <w:t>医疗机构的执业登记，由批准其设置的人民政府卫生行政部门办理。按照本条例第十三条规定设置的医疗机构的执业登记，由所在地的省、自治区、直辖市人民政府卫生行政部门办理。机关、企业和事业单位设置的为内部职工服务的门诊部、诊所、卫生所(室)的执业登记，由所在地的县级人民政府卫生行政部门办理。</w:t>
            </w:r>
            <w:r>
              <w:rPr>
                <w:rFonts w:hint="eastAsia" w:ascii="Times New Roman" w:hAnsi="Times New Roman" w:cs="Arial" w:eastAsiaTheme="minorEastAsia"/>
                <w:sz w:val="21"/>
                <w:szCs w:val="21"/>
              </w:rPr>
              <w:t>” 第二十条：“</w:t>
            </w:r>
            <w:r>
              <w:rPr>
                <w:rFonts w:ascii="Times New Roman" w:hAnsi="Times New Roman" w:cs="Arial" w:eastAsiaTheme="minorEastAsia"/>
                <w:sz w:val="21"/>
                <w:szCs w:val="21"/>
              </w:rPr>
              <w:t>医疗机构改变名称、场所、主要负责人、诊疗科目、床位，必须向原登记机关办理变更登记。</w:t>
            </w:r>
            <w:r>
              <w:rPr>
                <w:rFonts w:hint="eastAsia" w:ascii="Times New Roman" w:hAnsi="Times New Roman" w:cs="Arial" w:eastAsiaTheme="minorEastAsia"/>
                <w:sz w:val="21"/>
                <w:szCs w:val="21"/>
              </w:rPr>
              <w:t>”第二十三条：“</w:t>
            </w:r>
            <w:r>
              <w:rPr>
                <w:rFonts w:ascii="Times New Roman" w:hAnsi="Times New Roman" w:cs="Arial" w:eastAsiaTheme="minorEastAsia"/>
                <w:sz w:val="21"/>
                <w:szCs w:val="21"/>
              </w:rPr>
              <w:t>《医疗机构执业许可证》不得伪造、涂改、出卖、转让、出借。《医疗机构执业许可证》遗失的，应当及时申明，并向原登记机关申请补发。</w:t>
            </w:r>
            <w:r>
              <w:rPr>
                <w:rFonts w:hint="eastAsia" w:ascii="Times New Roman" w:hAnsi="Times New Roman" w:cs="Arial" w:eastAsiaTheme="minorEastAsia"/>
                <w:sz w:val="21"/>
                <w:szCs w:val="21"/>
              </w:rPr>
              <w:t>”</w:t>
            </w:r>
          </w:p>
          <w:p>
            <w:pPr>
              <w:spacing w:line="360" w:lineRule="exact"/>
              <w:ind w:firstLine="420" w:firstLineChars="200"/>
              <w:rPr>
                <w:rFonts w:ascii="Times New Roman" w:hAnsi="Times New Roman" w:cs="Arial" w:eastAsiaTheme="minorEastAsia"/>
                <w:kern w:val="0"/>
                <w:szCs w:val="21"/>
              </w:rPr>
            </w:pPr>
            <w:r>
              <w:rPr>
                <w:rFonts w:hint="eastAsia" w:ascii="Times New Roman" w:hAnsi="Times New Roman" w:cs="Arial" w:eastAsiaTheme="minorEastAsia"/>
                <w:kern w:val="0"/>
                <w:szCs w:val="21"/>
              </w:rPr>
              <w:t>2、《四川省医疗机构管理条例》（根据2001年3月30日四川省第九届人民代表大会常务委员会第二十二次会议《关于修改〈四川省医疗机构管理条例〉的决定》修正 2001年3月30日四川省第九届人民代表大会常务委员会公布）第十八条：“</w:t>
            </w:r>
            <w:r>
              <w:rPr>
                <w:rFonts w:ascii="Times New Roman" w:hAnsi="Times New Roman" w:cs="Arial" w:eastAsiaTheme="minorEastAsia"/>
                <w:kern w:val="0"/>
                <w:szCs w:val="21"/>
              </w:rPr>
              <w:t>医疗机构执业，必须向县级以上地方人民政府卫生行政部门进行登记，领取《医疗机构执业许可证》。</w:t>
            </w:r>
            <w:r>
              <w:rPr>
                <w:rFonts w:hint="eastAsia" w:ascii="Times New Roman" w:hAnsi="Times New Roman" w:cs="Arial" w:eastAsiaTheme="minorEastAsia"/>
                <w:kern w:val="0"/>
                <w:szCs w:val="21"/>
              </w:rPr>
              <w:t>”第二十二条：“</w:t>
            </w:r>
            <w:r>
              <w:rPr>
                <w:rFonts w:ascii="Times New Roman" w:hAnsi="Times New Roman" w:cs="Arial" w:eastAsiaTheme="minorEastAsia"/>
                <w:kern w:val="0"/>
                <w:szCs w:val="21"/>
              </w:rPr>
              <w:t> 医疗机构的执业登记，由批准其设置的人民政府卫生行政部门办理。机关、企业和事业单位设置的为内部职工服务的门诊部、诊所、卫生所(室)的执业登记，由所在地的县级人民政府卫生行政部门办理。</w:t>
            </w:r>
            <w:r>
              <w:rPr>
                <w:rFonts w:hint="eastAsia" w:ascii="Times New Roman" w:hAnsi="Times New Roman" w:cs="Arial" w:eastAsiaTheme="minorEastAsia"/>
                <w:kern w:val="0"/>
                <w:szCs w:val="21"/>
              </w:rPr>
              <w:t>”第二十四条：“</w:t>
            </w:r>
            <w:r>
              <w:rPr>
                <w:rFonts w:ascii="Times New Roman" w:hAnsi="Times New Roman" w:cs="Arial" w:eastAsiaTheme="minorEastAsia"/>
                <w:kern w:val="0"/>
                <w:szCs w:val="21"/>
              </w:rPr>
              <w:t>医疗机构需要改变名称、场所、所有制形式、服务对象、主要负责人、诊疗科目、床位，必须向有管辖权的登记机关办理变更登记。</w:t>
            </w:r>
            <w:r>
              <w:rPr>
                <w:rFonts w:hint="eastAsia" w:ascii="Times New Roman" w:hAnsi="Times New Roman" w:cs="Arial" w:eastAsiaTheme="minorEastAsia"/>
                <w:kern w:val="0"/>
                <w:szCs w:val="21"/>
              </w:rPr>
              <w:t>”第二十五条：“</w:t>
            </w:r>
            <w:r>
              <w:rPr>
                <w:rFonts w:ascii="Times New Roman" w:hAnsi="Times New Roman" w:cs="Arial" w:eastAsiaTheme="minorEastAsia"/>
                <w:kern w:val="0"/>
                <w:szCs w:val="21"/>
              </w:rPr>
              <w:t>医疗机构歇业，必须向原登记机关办理注销登记。经登记机关核准后，收缴《医疗机构执业许可证》。医疗机构非因改建、扩建、迁建，停业超过一年者视为歇业。</w:t>
            </w:r>
            <w:r>
              <w:rPr>
                <w:rFonts w:hint="eastAsia" w:ascii="Times New Roman" w:hAnsi="Times New Roman" w:cs="Arial" w:eastAsiaTheme="minorEastAsia"/>
                <w:kern w:val="0"/>
                <w:szCs w:val="21"/>
              </w:rPr>
              <w:t>” 第二十七条：“</w:t>
            </w:r>
            <w:r>
              <w:rPr>
                <w:rFonts w:ascii="Times New Roman" w:hAnsi="Times New Roman" w:cs="Arial" w:eastAsiaTheme="minorEastAsia"/>
                <w:kern w:val="0"/>
                <w:szCs w:val="21"/>
              </w:rPr>
              <w:t>医疗机构执业许可证》不得伪造、涂改、出卖、转让、出借。遗失证照者需及时声明，并向原登记机关申请补发。</w:t>
            </w:r>
            <w:r>
              <w:rPr>
                <w:rFonts w:hint="eastAsia" w:ascii="Times New Roman" w:hAnsi="Times New Roman" w:cs="Arial" w:eastAsiaTheme="minorEastAsia"/>
                <w:kern w:val="0"/>
                <w:szCs w:val="21"/>
              </w:rPr>
              <w:t>”</w:t>
            </w:r>
          </w:p>
          <w:p>
            <w:pPr>
              <w:pStyle w:val="10"/>
              <w:shd w:val="clear" w:color="auto" w:fill="FFFFFF"/>
              <w:spacing w:before="0" w:beforeAutospacing="0" w:after="225" w:afterAutospacing="0" w:line="360" w:lineRule="exact"/>
              <w:ind w:firstLine="420" w:firstLineChars="200"/>
              <w:rPr>
                <w:rFonts w:ascii="Times New Roman" w:hAnsi="Times New Roman" w:cs="Arial" w:eastAsiaTheme="minorEastAsia"/>
                <w:sz w:val="21"/>
                <w:szCs w:val="21"/>
              </w:rPr>
            </w:pPr>
            <w:r>
              <w:rPr>
                <w:rFonts w:hint="eastAsia" w:ascii="Times New Roman" w:hAnsi="Times New Roman" w:cs="Arial" w:eastAsiaTheme="minorEastAsia"/>
                <w:sz w:val="21"/>
                <w:szCs w:val="21"/>
              </w:rPr>
              <w:t>3、《医疗机构管理条例实施细则》（</w:t>
            </w:r>
            <w:r>
              <w:rPr>
                <w:rFonts w:ascii="Times New Roman" w:hAnsi="Times New Roman" w:cs="Arial" w:eastAsiaTheme="minorEastAsia"/>
                <w:sz w:val="21"/>
                <w:szCs w:val="21"/>
              </w:rPr>
              <w:t>《国家卫生计生委关于修改〈医疗机构管理条例实施细则〉的决定》</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国家卫生计生委令第12号</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2017年4月1日</w:t>
            </w:r>
            <w:r>
              <w:rPr>
                <w:rFonts w:hint="eastAsia" w:ascii="Times New Roman" w:hAnsi="Times New Roman" w:cs="Arial" w:eastAsiaTheme="minorEastAsia"/>
                <w:sz w:val="21"/>
                <w:szCs w:val="21"/>
              </w:rPr>
              <w:t>）第二十五条：“</w:t>
            </w:r>
            <w:r>
              <w:rPr>
                <w:rFonts w:ascii="Times New Roman" w:hAnsi="Times New Roman" w:cs="Arial" w:eastAsiaTheme="minorEastAsia"/>
                <w:sz w:val="21"/>
                <w:szCs w:val="21"/>
              </w:rPr>
              <w:t>申请医疗机构执业登记必须填写《医疗机构申请执业登记注册书》，并向登记机关提交下列材料:(一)《设置医疗机构批准书》或者《设置医疗机构备案回执》;(二)医疗机构用房产权证明或者使用证明;(三)医疗机构建筑设计平面图;(四)验资证明、资产评估报告;(五)医疗机构规章制度;(六)医疗机构法定代表人或者主要负责人以及各科室负责人名录和有关资格证书、执业证书复印件;(七)省、自治区、直辖市卫生计生行政部门规定提供的其他材料。申请门诊部、诊所、卫生所、医务室、卫生保健所和卫生站登记的，还应当提交附设药房(柜)的药品种类清单、卫生技术人员名录及其有关资格证书、执业证书复印件以及省、自治区、直辖市卫生计生行政部门规定提交的其他材料。</w:t>
            </w:r>
            <w:r>
              <w:rPr>
                <w:rFonts w:hint="eastAsia" w:ascii="Times New Roman" w:hAnsi="Times New Roman" w:cs="Arial" w:eastAsiaTheme="minorEastAsia"/>
                <w:sz w:val="21"/>
                <w:szCs w:val="21"/>
              </w:rPr>
              <w:t>”二十九条：“</w:t>
            </w:r>
            <w:r>
              <w:rPr>
                <w:rFonts w:ascii="Times New Roman" w:hAnsi="Times New Roman" w:cs="Arial" w:eastAsiaTheme="minorEastAsia"/>
                <w:sz w:val="21"/>
                <w:szCs w:val="21"/>
              </w:rPr>
              <w:t>因分立或者合并而保留的医疗机构应当申请变更登记;因分立或者合并而新设置的医疗机构应当申请设置许可证和执业登记;因合并而终止的医疗机构应当申请注销登记。</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 xml:space="preserve"> 第三十条</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医疗机构变更名称、地址、法定代表人或者主要负责人、所有制形式、服务对象、服务方式、注册资金(资本)、诊疗科目、床位(牙椅)的，必须向登记机关申请办理变更登记，并提交下列材料:(一)医疗机构法定代表人或者主要负责人签署的《医疗机构申请变更登记注册书》;(二)申请变更登记的原因和理由;(三)登记机关规定提交的其他材料。</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 xml:space="preserve"> 第三十二条</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医疗机构在原登记机关管辖权限范围内变更登记事项的，由原登记机关办理变更登记;因变更登记超出原登记机关管辖权限的，由有管辖权的卫生计生行政部门办理变更登记。医疗机构在原登记机关管辖区域内迁移，由原登记机关办理变更登记;向原登记机关管辖区域外迁移的，应当在取得迁移目的地的卫生计生行政部门发给的《设置医疗机构批准书》，并经原登记机关核准办理注销登记后，再向迁移目的地的卫生计生行政部门申请办理执业登记。</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 xml:space="preserve"> 第三十七条</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医疗机构有下列情形之一的，登记机关可以根据情况，给予一至六个月的暂缓校验期:(一)不符合《医疗机构基本标准》;(二)限期改正期间;(三)省、自治区、直辖市卫生计生行政部门规定的其他情形。不设床位的医疗机构在暂缓校验期内不得执业。暂缓校验期满仍不能通过校验的，由登记机关注销其《医疗机构执业许可证》。</w:t>
            </w:r>
            <w:r>
              <w:rPr>
                <w:rFonts w:hint="eastAsia" w:ascii="Times New Roman" w:hAnsi="Times New Roman" w:cs="Arial" w:eastAsiaTheme="minor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cs="Arial" w:eastAsiaTheme="minorEastAsia"/>
                <w:kern w:val="0"/>
                <w:szCs w:val="21"/>
              </w:rPr>
            </w:pPr>
            <w:r>
              <w:rPr>
                <w:rFonts w:hint="eastAsia" w:ascii="Times New Roman" w:hAnsi="Times New Roman" w:cs="Arial" w:eastAsiaTheme="minorEastAsia"/>
                <w:kern w:val="0"/>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1.受理责任：公示医疗机构执业登记（人体器官移植除外）应当提交的材料，对书面申请材料进行形式审查，一次性告知补正材料，依法受理或不予受理（不予受理应当告知理由）。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2.审查责任：对医疗机构执业登记（人体器官移植除外）书面申请材料和医疗机构现场设置进行审查，提出审核意见。</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3.决定责任：在规定时限内，对申请医疗机构执业登记（人体器官移植除外）的作出行政许可或者不予行政许可决定，法定告知（不予许可的应当书面告知理由）。</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 xml:space="preserve">    1.</w:t>
            </w:r>
            <w:r>
              <w:rPr>
                <w:rFonts w:ascii="Times New Roman" w:hAnsi="Times New Roman" w:cs="Arial" w:eastAsiaTheme="minorEastAsia"/>
                <w:kern w:val="0"/>
                <w:szCs w:val="21"/>
              </w:rPr>
              <w:t>《中华人民共和国行政许可法》</w:t>
            </w:r>
            <w:r>
              <w:rPr>
                <w:rFonts w:hint="eastAsia" w:ascii="Times New Roman" w:hAnsi="Times New Roman" w:cs="Arial" w:eastAsiaTheme="minorEastAsia"/>
                <w:kern w:val="0"/>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 xml:space="preserve">    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3-1. 《医疗机构管理条例》（国务院关于修改部分行政法规的决定，国务院令第666号，2016年2月6日）</w:t>
            </w:r>
            <w:r>
              <w:rPr>
                <w:rFonts w:ascii="Times New Roman" w:hAnsi="Times New Roman" w:cs="Arial" w:eastAsiaTheme="minorEastAsia"/>
                <w:kern w:val="0"/>
                <w:szCs w:val="21"/>
              </w:rPr>
              <w:t>第十二条</w:t>
            </w:r>
            <w:r>
              <w:rPr>
                <w:rFonts w:hint="eastAsia" w:ascii="Times New Roman" w:hAnsi="Times New Roman" w:cs="Arial" w:eastAsiaTheme="minorEastAsia"/>
                <w:kern w:val="0"/>
                <w:szCs w:val="21"/>
              </w:rPr>
              <w:t>：“</w:t>
            </w:r>
            <w:r>
              <w:rPr>
                <w:rFonts w:ascii="Times New Roman" w:hAnsi="Times New Roman" w:cs="Arial" w:eastAsiaTheme="minorEastAsia"/>
                <w:kern w:val="0"/>
                <w:szCs w:val="21"/>
              </w:rPr>
              <w:t>县级以上地方人民政府卫生行政部门应当自受理设置申请之日起30日内，作出批准或者不批准的书面答复；批准设置的，发给设置医疗机构批准书。</w:t>
            </w:r>
            <w:r>
              <w:rPr>
                <w:rFonts w:hint="eastAsia" w:ascii="Times New Roman" w:hAnsi="Times New Roman" w:cs="Arial" w:eastAsiaTheme="minorEastAsia"/>
                <w:kern w:val="0"/>
                <w:szCs w:val="21"/>
              </w:rPr>
              <w:t>”</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 xml:space="preserve">    3-2.《四川省医疗机构管理条例》（2001年3月30日四川省第九届人民代表大会常务委员会公布）第十六条：“县级以上地方人民政府卫生行政部门应当自受理设置申请之日起30日内，作出批准或者不批准的书面答复。批准设置的，发给设置医疗机构批准书。批准书的有效期限一般不超过两年。”</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3-3.《医疗机构管理条例实施细则》（</w:t>
            </w:r>
            <w:r>
              <w:rPr>
                <w:rFonts w:ascii="Times New Roman" w:hAnsi="Times New Roman" w:cs="Arial" w:eastAsiaTheme="minorEastAsia"/>
                <w:kern w:val="0"/>
                <w:szCs w:val="21"/>
              </w:rPr>
              <w:t>《国家卫生计生委关于修改〈医疗机构管理条例实施细则〉的决定》</w:t>
            </w:r>
            <w:r>
              <w:rPr>
                <w:rFonts w:hint="eastAsia" w:ascii="Times New Roman" w:hAnsi="Times New Roman" w:cs="Arial" w:eastAsiaTheme="minorEastAsia"/>
                <w:kern w:val="0"/>
                <w:szCs w:val="21"/>
              </w:rPr>
              <w:t>，</w:t>
            </w:r>
            <w:r>
              <w:rPr>
                <w:rFonts w:ascii="Times New Roman" w:hAnsi="Times New Roman" w:cs="Arial" w:eastAsiaTheme="minorEastAsia"/>
                <w:kern w:val="0"/>
                <w:szCs w:val="21"/>
              </w:rPr>
              <w:t>国家卫生计生委令第12号</w:t>
            </w:r>
            <w:r>
              <w:rPr>
                <w:rFonts w:hint="eastAsia" w:ascii="Times New Roman" w:hAnsi="Times New Roman" w:cs="Arial" w:eastAsiaTheme="minorEastAsia"/>
                <w:kern w:val="0"/>
                <w:szCs w:val="21"/>
              </w:rPr>
              <w:t>，</w:t>
            </w:r>
            <w:r>
              <w:rPr>
                <w:rFonts w:ascii="Times New Roman" w:hAnsi="Times New Roman" w:cs="Arial" w:eastAsiaTheme="minorEastAsia"/>
                <w:kern w:val="0"/>
                <w:szCs w:val="21"/>
              </w:rPr>
              <w:t>2017年4月1日</w:t>
            </w:r>
            <w:r>
              <w:rPr>
                <w:rFonts w:hint="eastAsia" w:ascii="Times New Roman" w:hAnsi="Times New Roman" w:cs="Arial" w:eastAsiaTheme="minorEastAsia"/>
                <w:kern w:val="0"/>
                <w:szCs w:val="21"/>
              </w:rPr>
              <w:t>）第二十六条：“登记机关在受理医疗机构执业登记申请后,应当按照条例第十六条 规定的条 件和条例第十九条规定的时限进行审查和实地考察、核实,并对有关执业人员进行消毒、隔离和</w:t>
            </w:r>
            <w:r>
              <w:fldChar w:fldCharType="begin"/>
            </w:r>
            <w:r>
              <w:instrText xml:space="preserve"> HYPERLINK "http://baike.so.com/doc/2580106.html" \t "http://baike.so.com/doc/_blank" </w:instrText>
            </w:r>
            <w:r>
              <w:fldChar w:fldCharType="separate"/>
            </w:r>
            <w:r>
              <w:rPr>
                <w:rStyle w:val="16"/>
                <w:rFonts w:ascii="Times New Roman" w:hAnsi="Times New Roman"/>
                <w:color w:val="auto"/>
                <w:u w:val="none"/>
              </w:rPr>
              <w:t>无菌操作</w:t>
            </w:r>
            <w:r>
              <w:rPr>
                <w:rStyle w:val="16"/>
                <w:rFonts w:ascii="Times New Roman" w:hAnsi="Times New Roman"/>
                <w:color w:val="auto"/>
                <w:u w:val="none"/>
              </w:rPr>
              <w:fldChar w:fldCharType="end"/>
            </w:r>
            <w:r>
              <w:rPr>
                <w:rFonts w:ascii="Times New Roman" w:hAnsi="Times New Roman" w:cs="Arial" w:eastAsiaTheme="minorEastAsia"/>
                <w:kern w:val="0"/>
                <w:szCs w:val="21"/>
              </w:rPr>
              <w:t>等基本知识和技能的现场抽查考核。经审核合格的,发给《医疗机构执业许可证》</w:t>
            </w:r>
            <w:r>
              <w:rPr>
                <w:rFonts w:hint="eastAsia" w:ascii="Times New Roman" w:hAnsi="Times New Roman" w:cs="Arial" w:eastAsiaTheme="minorEastAsia"/>
                <w:kern w:val="0"/>
                <w:szCs w:val="21"/>
              </w:rPr>
              <w:t>；</w:t>
            </w:r>
            <w:r>
              <w:rPr>
                <w:rFonts w:ascii="Times New Roman" w:hAnsi="Times New Roman" w:cs="Arial" w:eastAsiaTheme="minorEastAsia"/>
                <w:kern w:val="0"/>
                <w:szCs w:val="21"/>
              </w:rPr>
              <w:t>审核不合格的,将审核结果和不予批准的理由以书面形式通知申请人。</w:t>
            </w:r>
            <w:r>
              <w:rPr>
                <w:rFonts w:hint="eastAsia" w:ascii="Times New Roman" w:hAnsi="Times New Roman" w:cs="Arial" w:eastAsiaTheme="minorEastAsia"/>
                <w:kern w:val="0"/>
                <w:szCs w:val="21"/>
              </w:rPr>
              <w:t>”</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4-1．《中华人民共和国行政许可法》第四十条：“行政机关作出准予行政许可的决定，应当予以公开，公众有权查阅。”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4-2．《中华人民共和国行政许可法》第四十四条：“行政机关作出准予行政许可的决定，应当自作出决定之日起十日内向申请人颁发、送达行政许可证件，或者加贴标签、加盖检验、检测、检疫印章。”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cs="Arial" w:eastAsiaTheme="minorEastAsia"/>
                <w:kern w:val="0"/>
                <w:szCs w:val="21"/>
              </w:rPr>
            </w:pPr>
            <w:r>
              <w:rPr>
                <w:rFonts w:hint="eastAsia" w:ascii="Times New Roman" w:hAnsi="Times New Roman" w:cs="Arial" w:eastAsiaTheme="minorEastAsia"/>
                <w:kern w:val="0"/>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spacing w:line="360" w:lineRule="exac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表2-80</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医师执业注册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numPr>
                <w:ilvl w:val="0"/>
                <w:numId w:val="2"/>
              </w:num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《中华人民共和国执业医师法》（1998年6月26日第九届全国人民代表大会常务委员会第三次会议通过　1998年6月26日中华人民共和国主席令第五号公布　根据2009年8月27日中华人民共和国主席令第十八号第十一届全国人民代表大会常务委员会第十次会议《关于修改部分法律的决定》修正）第十三条：“国家实行医师执业注册制度。取得医师资格的，可以向所在地县级以上人民政府卫生行政部门申请注册。除有本法第十五条规定的情形外，受理申请的卫生行政部门应当自收到申请之日起三十日内准予注册，并发给由国务院卫生行政部门统一印制的医师执业证书。医疗、预防、保健机构可以为本机构中的医师集体办理注册手续。”</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 xml:space="preserve">    2．《医师执业注册管理办法》（中华人民共和国国家卫生和计划生育委员会令第13号《医师执业注册管理办法》已于2017年2月3日经国家卫生计生委委主任会议讨论通过，现予公布，自2017年4月1日起施行。）第三条第二款：“县级以上地方卫生计生行政部门是医师执业注册的主管部门，负责本行政区域内的医师执业注册监督管理工作。”第十二条：“申请医师执业注册，应当提交下列材料： （一）医师执业注册申请审核表； （二）近6个月2寸白底免冠正面半身照片； （三）医疗、预防、保健机构的聘用证明； （四）省级以上卫生计生行政部门规定的其他材料。 获得医师资格后二年内未注册者、中止医师执业活动二年以上或者本办法第六条规定不予注册的情形消失的医师申请注册时，还应当提交在省级以上卫生计生行政部门指定的机构接受连续6个月以上的培训，并经考核合格的证明。”</w:t>
            </w:r>
            <w:r>
              <w:rPr>
                <w:rFonts w:ascii="Times New Roman" w:hAnsi="Times New Roman"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1.受理责任：公示医师执业注册应当提交的材料，对书面申请材料进行形式审查，一次性告知补正材料，依法受理或不予受理（不予受理应当告知理由）。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2.审查责任：对医师执业注册书面申请材料进行审查，提出审核意见。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3.决定责任：在规定时限内，对申请医师执业注册的作出行政许可或者不予行政许可决定，法定告知（不予许可的应当书面告知理由）。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w:t>
            </w:r>
            <w:r>
              <w:rPr>
                <w:rFonts w:ascii="Times New Roman" w:hAnsi="Times New Roman" w:eastAsiaTheme="minorEastAsia"/>
                <w:szCs w:val="21"/>
              </w:rPr>
              <w:t>《中华人民共和国行政许可法》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3-1. 《中华人民共和国执业医师法》（1998年6月26日第九届全国人民代表大会常务委员会第三次会议通过　1998年6月26日中华人民共和国主席令第五号公布　根据2009年8月27日中华人民共和国主席令第十八号第十一届全国人民代表大会常务委员会第十次会议《关于修改部分法律的决定》修正）第十三条：“国家实行医师执业注册制度。取得医师资格的，可以向所在地县级以上人民政府卫生行政部门申请注册。除有本法第十五条规定的情形外，受理申请的卫生行政部门应当自收到申请之日起三十日内准予注册，并发给由国务院卫生行政部门统一印制的医师执业证书。医疗、预防、保健机构可以为本机构中的医师集体办理注册手续。”</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 xml:space="preserve"> 3-2. 《医师执业注册管理办法》（中华人民共和国国家卫生和计划生育委员会令第13号中华人民共和国国家卫生和计划生育委员会令第13号《医师执业注册管理办法》已于2017年2月3日经国家卫生计生委委主任会议讨论通过，现予公布，自2017年4月1日起施行。）第十三条 ：“注册主管部门应当自收到注册申请之日起20个工作日内，对申请人提交的申请材料进行审核。审核合格的，予以注册并发放《医师执业证书》。” 第十四条  ：“对不符合注册条件不予注册的，注册主管部门应当自收到注册申请之日起20个工作日内书面通知聘用单位和申请人，并说明理由。申请人如有异议的，可以依法申请行政复议或者向人民法院提起行政诉讼。”对不符合注册条件不予注册的，注册主管部门应当自收到注册申请之日起20个工作日内书面通知聘用单位和申请人，并说明理由。申请人如有异议的，可以依法申请行政复议或者向人民法院提起行政诉讼。</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w:t>
            </w:r>
            <w:r>
              <w:rPr>
                <w:rFonts w:hint="eastAsia" w:ascii="Times New Roman" w:hAnsi="Times New Roman" w:eastAsiaTheme="minorEastAsia"/>
                <w:szCs w:val="21"/>
              </w:rPr>
              <w:t>《中华人民共和国执业医师法》</w:t>
            </w:r>
            <w:r>
              <w:rPr>
                <w:rFonts w:ascii="Times New Roman" w:hAnsi="Times New Roman" w:eastAsiaTheme="minorEastAsia"/>
                <w:szCs w:val="21"/>
              </w:rPr>
              <w:t>、《行政机关公务员处分条例》、《四川省行政审批违法违纪行为责任追究办法》、《四川省行政机关工作人员行政过错责任追究试行办法》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spacing w:line="360" w:lineRule="exac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表2-81</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护士执业注册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pStyle w:val="10"/>
              <w:shd w:val="clear" w:color="auto" w:fill="FFFFFF"/>
              <w:spacing w:before="0" w:beforeAutospacing="0" w:after="225" w:afterAutospacing="0" w:line="360" w:lineRule="exact"/>
              <w:ind w:firstLine="420" w:firstLineChars="200"/>
              <w:rPr>
                <w:rFonts w:ascii="Times New Roman" w:hAnsi="Times New Roman" w:cs="Times New Roman" w:eastAsiaTheme="minorEastAsia"/>
                <w:kern w:val="2"/>
                <w:sz w:val="21"/>
                <w:szCs w:val="21"/>
              </w:rPr>
            </w:pPr>
            <w:r>
              <w:rPr>
                <w:rFonts w:hint="eastAsia" w:ascii="Times New Roman" w:hAnsi="Times New Roman" w:cs="Times New Roman" w:eastAsiaTheme="minorEastAsia"/>
                <w:kern w:val="2"/>
                <w:sz w:val="21"/>
                <w:szCs w:val="21"/>
              </w:rPr>
              <w:t>1.《护士条例》（中华人民共和国国务院令第517号，2008年1月23日国务院第206次常务会议通过）</w:t>
            </w:r>
            <w:r>
              <w:rPr>
                <w:rFonts w:ascii="Times New Roman" w:hAnsi="Times New Roman" w:cs="Times New Roman" w:eastAsiaTheme="minorEastAsia"/>
                <w:kern w:val="2"/>
                <w:sz w:val="21"/>
                <w:szCs w:val="21"/>
              </w:rPr>
              <w:t>第七条</w:t>
            </w:r>
            <w:r>
              <w:rPr>
                <w:rFonts w:hint="eastAsia" w:ascii="Times New Roman" w:hAnsi="Times New Roman" w:cs="Times New Roman" w:eastAsiaTheme="minorEastAsia"/>
                <w:kern w:val="2"/>
                <w:sz w:val="21"/>
                <w:szCs w:val="21"/>
              </w:rPr>
              <w:t>：“</w:t>
            </w:r>
            <w:r>
              <w:rPr>
                <w:rFonts w:ascii="Times New Roman" w:hAnsi="Times New Roman" w:cs="Times New Roman" w:eastAsiaTheme="minorEastAsia"/>
                <w:kern w:val="2"/>
                <w:sz w:val="21"/>
                <w:szCs w:val="21"/>
              </w:rPr>
              <w:t>护士执业,应当经执业注册取得护士执业证书。申请护士执业注册,应当具备下列条件：（一）具有完全民事行为能力；（二）在中等职业学校、高等学校完成国务院教育主管部门和国务院卫生主管部门规定的普通全日制3年以上的护理、助产专业课程学习,包括在教学、综合医院完成8个月以上护理临床实习,并取得相应学历证书；（三）通过国务院卫生主管部门组织的护士执业资格考试；（四）符合国务院卫生主管部门规定的健康标准。护士执业注册申请,应当自通过护士执业资格考试之日起3年内提出；逾期提出申请的,除应当具备前款第（一）项、第（二）项和第（四）项规定条件外,还应当在符合国务院卫生主管部门规定条件的医疗卫生机构接受3个月临床护理培训并考核合格。护士执业资格考试办法由国务院卫生主管部门会同国务院人事部门制定。</w:t>
            </w:r>
            <w:r>
              <w:rPr>
                <w:rFonts w:hint="eastAsia" w:ascii="Times New Roman" w:hAnsi="Times New Roman" w:cs="Times New Roman" w:eastAsiaTheme="minorEastAsia"/>
                <w:kern w:val="2"/>
                <w:sz w:val="21"/>
                <w:szCs w:val="21"/>
              </w:rPr>
              <w:t>”</w:t>
            </w:r>
            <w:r>
              <w:rPr>
                <w:rFonts w:ascii="Times New Roman" w:hAnsi="Times New Roman" w:cs="Times New Roman" w:eastAsiaTheme="minorEastAsia"/>
                <w:kern w:val="2"/>
                <w:sz w:val="21"/>
                <w:szCs w:val="21"/>
              </w:rPr>
              <w:t>第八条</w:t>
            </w:r>
            <w:r>
              <w:rPr>
                <w:rFonts w:hint="eastAsia" w:ascii="Times New Roman" w:hAnsi="Times New Roman" w:cs="Times New Roman" w:eastAsiaTheme="minorEastAsia"/>
                <w:kern w:val="2"/>
                <w:sz w:val="21"/>
                <w:szCs w:val="21"/>
              </w:rPr>
              <w:t>：“</w:t>
            </w:r>
            <w:r>
              <w:rPr>
                <w:rFonts w:ascii="Times New Roman" w:hAnsi="Times New Roman" w:cs="Times New Roman" w:eastAsiaTheme="minorEastAsia"/>
                <w:kern w:val="2"/>
                <w:sz w:val="21"/>
                <w:szCs w:val="21"/>
              </w:rPr>
              <w:t>申请护士执业注册的,应当向拟执业地省、自治区、直辖市人民政府卫生主管部门提出申请。收到申请的卫生主管部门应当自收到申请之日起20个工作日内做出决定,对具备本条例规定条件的,准予注册,并发给护士执业证书；对不具备本条例规定条件的,不予注册,并书面说明理由。护士执业注册有效期为5年。</w:t>
            </w:r>
            <w:r>
              <w:rPr>
                <w:rFonts w:hint="eastAsia" w:ascii="Times New Roman" w:hAnsi="Times New Roman" w:cs="Times New Roman" w:eastAsiaTheme="minorEastAsia"/>
                <w:kern w:val="2"/>
                <w:sz w:val="21"/>
                <w:szCs w:val="21"/>
              </w:rPr>
              <w:t>”</w:t>
            </w:r>
          </w:p>
          <w:p>
            <w:pPr>
              <w:pStyle w:val="10"/>
              <w:shd w:val="clear" w:color="auto" w:fill="FFFFFF"/>
              <w:spacing w:before="0" w:beforeAutospacing="0" w:after="225" w:afterAutospacing="0" w:line="360" w:lineRule="exact"/>
              <w:ind w:firstLine="420" w:firstLineChars="200"/>
              <w:rPr>
                <w:rFonts w:ascii="Times New Roman" w:hAnsi="Times New Roman" w:cs="Times New Roman" w:eastAsiaTheme="minorEastAsia"/>
                <w:kern w:val="2"/>
                <w:sz w:val="21"/>
                <w:szCs w:val="21"/>
              </w:rPr>
            </w:pPr>
            <w:r>
              <w:rPr>
                <w:rFonts w:hint="eastAsia" w:ascii="Times New Roman" w:hAnsi="Times New Roman" w:eastAsiaTheme="minorEastAsia"/>
                <w:sz w:val="21"/>
                <w:szCs w:val="21"/>
              </w:rPr>
              <w:t xml:space="preserve">2.《护士执业注册管理办法》（中华人民共和国卫生部令第59号，2008年5月4日经卫生部部务会议讨论通过）第二条：“护士经执业注册取得《护士执业证书》后，方可按照注册的执业地点从事护理工作。未经执业注册取得《护士执业证书》者，不得从事诊疗技术规范规定的护理活动。” </w:t>
            </w:r>
            <w:r>
              <w:rPr>
                <w:rFonts w:hint="eastAsia" w:ascii="Times New Roman" w:hAnsi="Times New Roman" w:cs="Times New Roman" w:eastAsiaTheme="minorEastAsia"/>
                <w:kern w:val="2"/>
                <w:sz w:val="21"/>
                <w:szCs w:val="21"/>
              </w:rPr>
              <w:t>第五条：“申请护士执业注册，应当具备下列条件：（一）具有完全民事行为能力；（二）在中等职业学校、高等学校完成教育部和卫生部规定的普通全日制3年以上的护理、助产专业课程学习，包括在教学、综合医院完成8个月以上护理临床实习，并取得相应学历证书；（三）通过卫生部组织的护士执业资格考试；（四）符合本办法第六条规定的健康标准。”第六条:“申请护士执业注册，应当符合下列健康标准：（一）无精神病史；（二）无色盲、色弱、双耳听力障碍；（三）无影响履行护理职责的疾病、残疾或者功能障碍。”第七条：“申请护士执业注册，应当提交下列材料：（一）护士执业注册申请审核表；（二）申请人身份证明；（三）申请人学历证书及专业学习中的临床实习证明；（四）护士执业资格考试成绩合格证明；（五）省、自治区、直辖市人民政府卫生行政部门指定的医疗机构出具的申请人6个月内健康体检证明；（六）医疗卫生机构拟聘用的相关材料。”第八条：“卫生行政部门应当自受理申请之日起20个工作日内，对申请人提交的材料进行审核。审核合格的，准予注册，发给《护士执业证书》；对不符合规定条件的，不予注册，并书面说明理由。《护士执业证书》上应当注明护士的姓名、性别、出生日期等个人信息及证书编号、注册日期和执业地点。《护士执业证书》由卫生部统一印制。”第九条：“护士执业注册申请，应当自通过护士执业资格考试之日起3年内提出；逾期提出申请的，除本办法第七条规定的材料外，还应当提交在省、自治区、直辖市人民政府卫生行政部门规定的教学、综合医院接受3个月临床护理培训并考核合格的证明。”第十条：“护士执业注册有效期为5年。护士执业注册有效期届满需要继续执业的，应当在有效期届满前30日，向原注册部门申请延续注册。”第十一条：“护士申请延续注册，应当提交下列材料：（一）护士延续注册申请审核表；（二）申请人的《护士执业证书》；（三）省、自治区、直辖市人民政府卫生行政部门指定的医疗机构出具的申请人6个月内健康体检证明。”第十二条：“注册部门自受理延续注册申请之日起20日内进行审核。审核合格的，予以延续注册。”第十三条：“有下列情形之一的，不予延续注册：（一）不符合本办法第六条规定的健康标准的；（二）被处暂停执业活动处罚期限未满的。”第十四条：“医疗卫生机构可以为本机构聘用的护士集体申请办理护士执业注册和延续注册。”第十五条：“有下列情形之一的，拟在医疗卫生机构执业时，应当重新申请注册：（一）注册有效期届满未延续注册的；（二）受吊销《护士执业证书》处罚，自吊销之日起满2年的。重新申请注册的，按照本办法第七条的规定提交材料；中断护理执业活动超过3年的，还应当提交在省、自治区、直辖市人民政府卫生行政部门规定的教学、综合医院接受3个月临床护理培训并考核合格的证明。”</w:t>
            </w:r>
            <w:r>
              <w:rPr>
                <w:rFonts w:hint="eastAsia" w:ascii="Times New Roman" w:hAnsi="Times New Roman" w:cs="Times New Roman" w:eastAsiaTheme="minorEastAsia"/>
                <w:kern w:val="2"/>
                <w:sz w:val="21"/>
                <w:szCs w:val="21"/>
              </w:rPr>
              <w:br w:type="textWrapping"/>
            </w:r>
            <w:r>
              <w:rPr>
                <w:rFonts w:hint="eastAsia" w:ascii="Times New Roman" w:hAnsi="Times New Roman" w:cs="Times New Roman" w:eastAsiaTheme="minorEastAsia"/>
                <w:kern w:val="2"/>
                <w:sz w:val="21"/>
                <w:szCs w:val="21"/>
              </w:rPr>
              <w:t>第十六条：“护士在其执业注册有效期内变更执业地点等注册项目，应当办理变更注册。但承担卫生行政部门交办或者批准的任务以及履行医疗卫生机构职责的护理活动，包括经医疗卫生机构批准的进修、学术交流等除外。”第十七条：“护士在其执业注册有效期内变更执业地点的，应当向拟执业地注册主管部门报告，并提交下列材料：（一）护士变更注册申请审核表；（二）申请人的《护士执业证书》。注册部门应当自受理之日起7个工作日内为其办理变更手续。护士跨省、自治区、直辖市变更执业地点的，收到报告的注册部门还应当向其原执业地注册部门通报。省、自治区、直辖市人民政府卫生行政部门应当通过护士执业注册信息系统，为护士变更注册提供便利。”第十八条：“护士执业注册后有下列情形之一的，原注册部门办理注销执业注册：（一）注册有效期届满未延续注册；（二）受吊销《护士执业证书》处罚；（三）护士死亡或者丧失民事行为能力。”第十九条：“卫生行政部门实施护士执业注册，有下列情形之一的，由其上级卫生行政部门或者监察机关责令改正，对直接负责的主管人员或者其他直接责任人员依法给予行政处分：（一）对不符合护士执业注册条件者准予护士执业注册的；（二）对符合护士执业注册条件者不予护士执业注册的。”第二十条：“护士执业注册申请人隐瞒有关情况或者提供虚假材料申请护士执业注册的，卫生行政部门不予受理或者不予护士执业注册，并给予警告；已经注册的，应当撤销注册。”第二十一条：“在内地完成护理、助产专业学习的香港、澳门特别行政区及台湾地区人员，符合本办法第五条、第六条、第七条规定的，可以申请护士执业注册。</w:t>
            </w:r>
            <w:r>
              <w:rPr>
                <w:rFonts w:hint="eastAsia" w:ascii="Times New Roman" w:hAnsi="Times New Roman" w:eastAsiaTheme="minorEastAsia"/>
                <w:sz w:val="21"/>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3.四川省卫生健康委员会关于印发《四川省护士执业注册实施细则》的通知（川卫规〔2019〕9号）（自2020年2月1日起施行）。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护士执业注册</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护士执业注册</w:t>
            </w:r>
            <w:r>
              <w:rPr>
                <w:rFonts w:ascii="Times New Roman" w:hAnsi="Times New Roman" w:eastAsiaTheme="minorEastAsia"/>
                <w:szCs w:val="21"/>
              </w:rPr>
              <w:t>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对申请护士执业注册的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3-1.《护士条例》（中华人民共和国国务院令第517号，2008年1月23日国务院第206次常务会议通过）第八条：“</w:t>
            </w:r>
            <w:r>
              <w:rPr>
                <w:rFonts w:ascii="Times New Roman" w:hAnsi="Times New Roman" w:eastAsiaTheme="minorEastAsia"/>
                <w:szCs w:val="21"/>
              </w:rPr>
              <w:t>申请护士执业注册的，应当向拟执业地省、自治区、直辖市人民政府卫生主管部门提出申请。收到申请的卫生主管部门应当自收到申请之日起20个工作日内做出决定，对具备本条例规定条件的，准予注册，并发给护士执业证书；对不具备本条例规定条件的，不予注册，并书面说明理由。护士执业注册有效期为5年。</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-2.《护士执业注册管理办法》（中华人民共和国卫生部令第59号，2008年5月4日经卫生部部务会议讨论通过）第八条：“卫生行政部门应当自受理申请之日起20个工作日内，对申请人提交的材料进行审核。审核合格的，准予注册，发给《护士执业证书》；对不符合规定条件的，不予注册，并书面说明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widowControl/>
        <w:spacing w:line="360" w:lineRule="exact"/>
        <w:jc w:val="left"/>
        <w:rPr>
          <w:rFonts w:ascii="Times New Roman" w:hAnsi="Times New Roman" w:eastAsia="方正黑体简体"/>
          <w:sz w:val="32"/>
          <w:szCs w:val="32"/>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rPr>
      </w:pPr>
      <w:r>
        <w:rPr>
          <w:rFonts w:hint="eastAsia" w:ascii="Times New Roman" w:hAnsi="Times New Roman"/>
        </w:rPr>
        <w:t>表2-82</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饮用水供水单位卫生许可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1.《生活饮用水卫生监督管理办法》（2016年4月17日中华人民共和国住房和城乡建设部、国家卫生和计划生育委员会令第31号）第四条：“国家对供水单位和涉及饮用水卫生安全的产品实行卫生许可制度。”、第七条：“集中式供水单位取得工商行政管理部门颁发的营业执照后，还应当取得县级以上地方人民政府卫生计生主管部门颁发的卫生许可证，方可供水。”第十四条：“二次供水设施选址、设计、施工及所用材料，应保证不使饮用水水质受到污染，并有利于清洗和消毒。各类蓄水设施要加强卫生防护，定期清洗和消毒。具体管理办法由省、自治区、直辖市根据本地区情况另行规定。”</w:t>
            </w:r>
          </w:p>
          <w:p>
            <w:pPr>
              <w:spacing w:line="360" w:lineRule="exact"/>
              <w:ind w:firstLine="420" w:firstLineChars="200"/>
              <w:jc w:val="left"/>
              <w:rPr>
                <w:rFonts w:ascii="Times New Roman" w:hAnsi="Times New Roman"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饮用水供水单位卫生许可可</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饮用水供水单位卫生许可</w:t>
            </w:r>
            <w:r>
              <w:rPr>
                <w:rFonts w:ascii="Times New Roman" w:hAnsi="Times New Roman" w:eastAsiaTheme="minorEastAsia"/>
                <w:szCs w:val="21"/>
              </w:rPr>
              <w:t>书面申请材料</w:t>
            </w:r>
            <w:r>
              <w:rPr>
                <w:rFonts w:hint="eastAsia" w:ascii="Times New Roman" w:hAnsi="Times New Roman" w:eastAsiaTheme="minorEastAsia"/>
                <w:szCs w:val="21"/>
              </w:rPr>
              <w:t>和供水单位现场卫生设施</w:t>
            </w:r>
            <w:r>
              <w:rPr>
                <w:rFonts w:ascii="Times New Roman" w:hAnsi="Times New Roman" w:eastAsiaTheme="minorEastAsia"/>
                <w:szCs w:val="21"/>
              </w:rPr>
              <w:t>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对申请饮用水供水单位卫生许可的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四川省生活饮用水卫生监督管理办法》（四川省人民政府令第306号，2016年2月22日四川省人民政府第112次常务会议审议通过）第三十五条：“县级以上卫生行政部门应当将集中式、二次供水的供水单位和涉水产品的卫生许可条件和申请材料目录在政务服务窗口及网站上予以公示，依法审核申请人提交的申请材料，并进行现场核查。对符合条件的依法给予许可；对不符合条件的给予答复并说明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eastAsiaTheme="minorEastAsia"/>
                <w:szCs w:val="21"/>
              </w:rPr>
              <w:t>《四川省生活饮用水卫生监督管理办法》</w:t>
            </w:r>
            <w:r>
              <w:rPr>
                <w:rFonts w:ascii="Times New Roman" w:hAnsi="Times New Roman" w:eastAsiaTheme="minorEastAsia"/>
                <w:szCs w:val="21"/>
              </w:rPr>
              <w:t>、《四川省行政审批违法违纪行为责任追究办法》、《四川省行政机关工作人员行政过错责任追究试行办法》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spacing w:line="360" w:lineRule="exact"/>
        <w:rPr>
          <w:rFonts w:ascii="Times New Roman" w:hAnsi="Times New Roman" w:eastAsiaTheme="minorEastAsia"/>
          <w:szCs w:val="21"/>
        </w:rPr>
      </w:pPr>
    </w:p>
    <w:p>
      <w:pPr>
        <w:widowControl/>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eastAsiaTheme="minorEastAsia"/>
          <w:szCs w:val="21"/>
        </w:rPr>
      </w:pPr>
      <w:r>
        <w:rPr>
          <w:rFonts w:hint="eastAsia" w:ascii="Times New Roman" w:hAnsi="Times New Roman"/>
        </w:rPr>
        <w:t>表2-83</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公共场所卫生许可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pStyle w:val="10"/>
              <w:shd w:val="clear" w:color="auto" w:fill="FFFFFF"/>
              <w:spacing w:before="0" w:beforeAutospacing="0" w:after="0" w:afterAutospacing="0" w:line="360" w:lineRule="exact"/>
              <w:ind w:firstLine="420" w:firstLineChars="200"/>
              <w:jc w:val="both"/>
              <w:rPr>
                <w:rFonts w:ascii="Times New Roman" w:hAnsi="Times New Roman" w:eastAsiaTheme="minorEastAsia"/>
                <w:sz w:val="21"/>
                <w:szCs w:val="21"/>
              </w:rPr>
            </w:pPr>
            <w:r>
              <w:rPr>
                <w:rFonts w:hint="eastAsia" w:ascii="Times New Roman" w:hAnsi="Times New Roman" w:eastAsiaTheme="minorEastAsia"/>
                <w:sz w:val="21"/>
                <w:szCs w:val="21"/>
              </w:rPr>
              <w:t xml:space="preserve">   1、《公共场所卫生管理条例》（</w:t>
            </w:r>
            <w:r>
              <w:rPr>
                <w:rFonts w:ascii="Times New Roman" w:hAnsi="Times New Roman" w:cs="Arial" w:eastAsiaTheme="minorEastAsia"/>
                <w:sz w:val="21"/>
                <w:szCs w:val="21"/>
                <w:shd w:val="clear" w:color="auto" w:fill="FFFFFF"/>
              </w:rPr>
              <w:t>《国务院关于修改部分行政法规的决定</w:t>
            </w:r>
            <w:r>
              <w:rPr>
                <w:rFonts w:hint="eastAsia" w:ascii="Times New Roman" w:hAnsi="Times New Roman" w:cs="Arial" w:eastAsiaTheme="minorEastAsia"/>
                <w:sz w:val="21"/>
                <w:szCs w:val="21"/>
                <w:shd w:val="clear" w:color="auto" w:fill="FFFFFF"/>
              </w:rPr>
              <w:t>》</w:t>
            </w:r>
            <w:r>
              <w:rPr>
                <w:rFonts w:ascii="Times New Roman" w:hAnsi="Times New Roman" w:eastAsiaTheme="minorEastAsia"/>
                <w:sz w:val="21"/>
                <w:szCs w:val="21"/>
              </w:rPr>
              <w:t>中华人民共和国国务院令第714号</w:t>
            </w:r>
            <w:r>
              <w:rPr>
                <w:rFonts w:hint="eastAsia" w:ascii="Times New Roman" w:hAnsi="Times New Roman" w:eastAsiaTheme="minorEastAsia"/>
                <w:sz w:val="21"/>
                <w:szCs w:val="21"/>
              </w:rPr>
              <w:t>，</w:t>
            </w:r>
            <w:r>
              <w:rPr>
                <w:rFonts w:ascii="Times New Roman" w:hAnsi="Times New Roman" w:eastAsiaTheme="minorEastAsia"/>
                <w:sz w:val="21"/>
                <w:szCs w:val="21"/>
              </w:rPr>
              <w:t>2019年4月23日</w:t>
            </w:r>
            <w:r>
              <w:rPr>
                <w:rFonts w:hint="eastAsia" w:ascii="Times New Roman" w:hAnsi="Times New Roman" w:eastAsiaTheme="minorEastAsia"/>
                <w:sz w:val="21"/>
                <w:szCs w:val="21"/>
              </w:rPr>
              <w:t>）。第四条：“</w:t>
            </w:r>
            <w:r>
              <w:rPr>
                <w:rFonts w:ascii="Times New Roman" w:hAnsi="Times New Roman" w:eastAsiaTheme="minorEastAsia"/>
                <w:sz w:val="21"/>
                <w:szCs w:val="21"/>
              </w:rPr>
              <w:t>国家对公共场所实行‘卫生许可证’制度。“卫生许可证”由县以上卫生行政部门签发。</w:t>
            </w:r>
            <w:r>
              <w:rPr>
                <w:rFonts w:hint="eastAsia" w:ascii="Times New Roman" w:hAnsi="Times New Roman" w:eastAsiaTheme="minorEastAsia"/>
                <w:sz w:val="21"/>
                <w:szCs w:val="21"/>
              </w:rPr>
              <w:t>”第八条：“</w:t>
            </w:r>
            <w:r>
              <w:rPr>
                <w:rFonts w:ascii="Times New Roman" w:hAnsi="Times New Roman" w:eastAsiaTheme="minorEastAsia"/>
                <w:sz w:val="21"/>
                <w:szCs w:val="21"/>
              </w:rPr>
              <w:t>除公园、体育场（馆）、公共交通工具外的公共场所，经营单位应当及时向卫生行政部门申请办理“卫生许可证”。“卫生许可证”两年复核一次。</w:t>
            </w:r>
            <w:r>
              <w:rPr>
                <w:rFonts w:hint="eastAsia" w:ascii="Times New Roman" w:hAnsi="Times New Roman" w:eastAsiaTheme="minorEastAsia"/>
                <w:sz w:val="21"/>
                <w:szCs w:val="21"/>
              </w:rPr>
              <w:t>”</w:t>
            </w:r>
          </w:p>
          <w:p>
            <w:pPr>
              <w:pStyle w:val="10"/>
              <w:shd w:val="clear" w:color="auto" w:fill="FFFFFF"/>
              <w:spacing w:before="0" w:beforeAutospacing="0" w:after="0" w:afterAutospacing="0" w:line="360" w:lineRule="exact"/>
              <w:ind w:firstLine="420" w:firstLineChars="200"/>
              <w:jc w:val="both"/>
              <w:rPr>
                <w:rFonts w:ascii="Times New Roman" w:hAnsi="Times New Roman" w:cs="Arial" w:eastAsiaTheme="minorEastAsia"/>
                <w:sz w:val="21"/>
                <w:szCs w:val="21"/>
              </w:rPr>
            </w:pPr>
            <w:r>
              <w:rPr>
                <w:rFonts w:hint="eastAsia" w:ascii="Times New Roman" w:hAnsi="Times New Roman" w:eastAsiaTheme="minorEastAsia"/>
                <w:sz w:val="21"/>
                <w:szCs w:val="21"/>
              </w:rPr>
              <w:t>2、《公共场所卫生管理条例实施细则》（卫生部令第80号，2011年5月1日起实施。根据2016</w:t>
            </w:r>
            <w:r>
              <w:rPr>
                <w:rFonts w:ascii="Times New Roman" w:hAnsi="Times New Roman" w:eastAsiaTheme="minorEastAsia"/>
                <w:sz w:val="21"/>
                <w:szCs w:val="21"/>
              </w:rPr>
              <w:t>年1</w:t>
            </w:r>
            <w:r>
              <w:rPr>
                <w:rFonts w:hint="eastAsia" w:ascii="Times New Roman" w:hAnsi="Times New Roman" w:eastAsiaTheme="minorEastAsia"/>
                <w:sz w:val="21"/>
                <w:szCs w:val="21"/>
              </w:rPr>
              <w:t>月19</w:t>
            </w:r>
            <w:r>
              <w:rPr>
                <w:rFonts w:ascii="Times New Roman" w:hAnsi="Times New Roman" w:eastAsiaTheme="minorEastAsia"/>
                <w:sz w:val="21"/>
                <w:szCs w:val="21"/>
              </w:rPr>
              <w:t>日国家卫生</w:t>
            </w:r>
            <w:r>
              <w:rPr>
                <w:rFonts w:hint="eastAsia" w:ascii="Times New Roman" w:hAnsi="Times New Roman" w:eastAsiaTheme="minorEastAsia"/>
                <w:sz w:val="21"/>
                <w:szCs w:val="21"/>
              </w:rPr>
              <w:t>和计划生育委员会令</w:t>
            </w:r>
            <w:r>
              <w:rPr>
                <w:rFonts w:ascii="Times New Roman" w:hAnsi="Times New Roman" w:eastAsiaTheme="minorEastAsia"/>
                <w:sz w:val="21"/>
                <w:szCs w:val="21"/>
              </w:rPr>
              <w:t>第8号</w:t>
            </w:r>
            <w:r>
              <w:rPr>
                <w:rFonts w:hint="eastAsia" w:ascii="Times New Roman" w:hAnsi="Times New Roman" w:eastAsiaTheme="minorEastAsia"/>
                <w:sz w:val="21"/>
                <w:szCs w:val="21"/>
              </w:rPr>
              <w:t>《国家卫生计生委关于修改（外国医师来华短期行医暂行管理办法）等8部门规章的决定》第一次修订。根据2017年12月26日国家卫生和计划生育委员会令第18号《国家卫生计生委关于修改（新食品原料安全性审查管理办法）等7部门规章的决定》第二次修订。）第二十二条：“</w:t>
            </w:r>
            <w:r>
              <w:rPr>
                <w:rFonts w:ascii="Times New Roman" w:hAnsi="Times New Roman" w:cs="Arial" w:eastAsiaTheme="minorEastAsia"/>
                <w:sz w:val="21"/>
                <w:szCs w:val="21"/>
              </w:rPr>
              <w:t>国家对除公园、体育场馆、公共交通工具外的公共场所实行卫生许可证管理。公共场所经营者取得工商行政管理部门颁发的营业执照后，还应当按照规定向县级以上地方人民政府卫生计生行政部门申请卫生许可证，方可营业。公共场所卫生监督的具体范围由省、自治区、直辖市人民政府卫生计生行政部门公布。</w:t>
            </w:r>
            <w:r>
              <w:rPr>
                <w:rFonts w:hint="eastAsia" w:ascii="Times New Roman" w:hAnsi="Times New Roman" w:eastAsiaTheme="minorEastAsia"/>
                <w:sz w:val="21"/>
                <w:szCs w:val="21"/>
              </w:rPr>
              <w:t>”第二十三条：“</w:t>
            </w:r>
            <w:r>
              <w:rPr>
                <w:rFonts w:ascii="Times New Roman" w:hAnsi="Times New Roman" w:cs="Arial" w:eastAsiaTheme="minorEastAsia"/>
                <w:sz w:val="21"/>
                <w:szCs w:val="21"/>
              </w:rPr>
              <w:t>公共场所经营者申请卫生许可证的，应当提交下列资料：（一）卫生许可证申请表；（二）法定代表人或者负责人身份证明；（三）公共场所地址方位示意图、平面图和卫生设施平面布局图；（四）公共场所卫生检测或者评价报告；（五）公共场所卫生管理制度；（六）省、自治区、直辖市卫生计生行政部门要求提供的其他材料。使用集中空调通风系统的，还应当提供集中空调通风系统卫生检测或者评价报告。</w:t>
            </w:r>
            <w:r>
              <w:rPr>
                <w:rFonts w:hint="eastAsia" w:ascii="Times New Roman" w:hAnsi="Times New Roman" w:eastAsiaTheme="minorEastAsia"/>
                <w:sz w:val="21"/>
                <w:szCs w:val="21"/>
              </w:rPr>
              <w:t>”第二十四条：“</w:t>
            </w:r>
            <w:r>
              <w:rPr>
                <w:rFonts w:ascii="Times New Roman" w:hAnsi="Times New Roman" w:cs="Arial" w:eastAsiaTheme="minorEastAsia"/>
                <w:sz w:val="21"/>
                <w:szCs w:val="21"/>
                <w:shd w:val="clear" w:color="auto" w:fill="FFFFFF"/>
              </w:rPr>
              <w:t>县级以上地方人民政府卫生计生行政部门应当自受理公共场所卫生许可申请之日起20日内，对申报资料进行审查，对现场进行审核，符合规定条件的，作出准予公共场所卫生许可的决定；对不符合规定条件的，作出不予行政许可的决定并书面说明理由。</w:t>
            </w:r>
            <w:r>
              <w:rPr>
                <w:rFonts w:hint="eastAsia" w:ascii="Times New Roman" w:hAnsi="Times New Roman" w:eastAsiaTheme="minorEastAsia"/>
                <w:sz w:val="21"/>
                <w:szCs w:val="21"/>
              </w:rPr>
              <w:t>”第二十五条：“</w:t>
            </w:r>
            <w:r>
              <w:rPr>
                <w:rFonts w:ascii="Times New Roman" w:hAnsi="Times New Roman" w:cs="Arial" w:eastAsiaTheme="minorEastAsia"/>
                <w:sz w:val="21"/>
                <w:szCs w:val="21"/>
              </w:rPr>
              <w:t>公共场所卫生许可证应当载明编号、单位名称、法定代表人或者负责人、经营项目、经营场所地址、发证机关、发证时间、有效期限。公共场所卫生许可证有效期为四年。公共场所卫生许可证应当在经营场所醒目位置公示。</w:t>
            </w:r>
            <w:r>
              <w:rPr>
                <w:rFonts w:hint="eastAsia" w:ascii="Times New Roman" w:hAnsi="Times New Roman" w:eastAsiaTheme="minorEastAsia"/>
                <w:sz w:val="21"/>
                <w:szCs w:val="21"/>
              </w:rPr>
              <w:t>”</w:t>
            </w:r>
            <w:r>
              <w:rPr>
                <w:rFonts w:ascii="Times New Roman" w:hAnsi="Times New Roman" w:eastAsiaTheme="minorEastAsia"/>
                <w:sz w:val="21"/>
                <w:szCs w:val="21"/>
              </w:rPr>
              <w:t>第二十七条</w:t>
            </w:r>
            <w:r>
              <w:rPr>
                <w:rFonts w:hint="eastAsia" w:ascii="Times New Roman" w:hAnsi="Times New Roman" w:eastAsiaTheme="minorEastAsia"/>
                <w:sz w:val="21"/>
                <w:szCs w:val="21"/>
              </w:rPr>
              <w:t>：“</w:t>
            </w:r>
            <w:r>
              <w:rPr>
                <w:rFonts w:ascii="Times New Roman" w:hAnsi="Times New Roman" w:cs="Arial" w:eastAsiaTheme="minorEastAsia"/>
                <w:sz w:val="21"/>
                <w:szCs w:val="21"/>
              </w:rPr>
              <w:t>公共场所经营者变更单位名称、法定代表人或者负责人的，应当向原发证卫生计生行政部门办理变更手续。公共场所经营者变更经营项目、经营场所地址的，应当向县级以上地方人民政府卫生计生行政部门重新申请卫生许可证。公共场所经营者需要延续卫生许可证的，应当在卫生许可证有效期届满30日前，向原发证卫生计生行政部门提出申请。</w:t>
            </w:r>
            <w:r>
              <w:rPr>
                <w:rFonts w:hint="eastAsia" w:ascii="Times New Roman" w:hAnsi="Times New Roman" w:eastAsiaTheme="minorEastAsia"/>
                <w:sz w:val="21"/>
                <w:szCs w:val="21"/>
              </w:rPr>
              <w:t>”</w:t>
            </w:r>
          </w:p>
          <w:p>
            <w:pPr>
              <w:pStyle w:val="10"/>
              <w:shd w:val="clear" w:color="auto" w:fill="FFFFFF"/>
              <w:spacing w:before="0" w:beforeAutospacing="0" w:after="225" w:afterAutospacing="0" w:line="360" w:lineRule="exact"/>
              <w:ind w:firstLine="420" w:firstLineChars="200"/>
              <w:jc w:val="both"/>
              <w:rPr>
                <w:rFonts w:ascii="Times New Roman" w:hAnsi="Times New Roman" w:cs="Arial" w:eastAsiaTheme="minorEastAsia"/>
                <w:sz w:val="21"/>
                <w:szCs w:val="21"/>
              </w:rPr>
            </w:pPr>
            <w:r>
              <w:rPr>
                <w:rFonts w:hint="eastAsia" w:ascii="Times New Roman" w:hAnsi="Times New Roman" w:eastAsiaTheme="minorEastAsia"/>
                <w:sz w:val="21"/>
                <w:szCs w:val="21"/>
              </w:rPr>
              <w:t>3、《四川省公共场所卫生管理办法》（四川省人民政府令第251号，自2011年5月1日起施行；四川省人民政府令第322号，2017年10月27日四川省人民政府第159次常务会议审议通过《四川省人民政府关于修改&lt;四川省公共场所卫生管理办法&gt;&lt;四川省娱乐场所管理办法&gt;的决定》。）第二条：“</w:t>
            </w:r>
            <w:r>
              <w:rPr>
                <w:rFonts w:ascii="Times New Roman" w:hAnsi="Times New Roman" w:cs="Arial" w:eastAsiaTheme="minorEastAsia"/>
                <w:sz w:val="21"/>
                <w:szCs w:val="21"/>
              </w:rPr>
              <w:t>公共场所分为甲类场所和乙类场所。甲类场所包括:(一)宾馆、旅店、招待所;(二)公共浴室、理发店、美容店;(三)影剧院、录像厅(室)、游艺厅(室)、舞厅、音乐厅;(四)体育场(馆)、游泳场(馆);(五)展览馆、博物馆、美术馆、图书馆;(六)商场(店)、书店;(七)候诊室、候车(机、船)室、公共交通工具。乙类场所包括:(一)使用集中空调通风系统的医疗机构候诊室外的室内区域、学校教学生活场所、写字楼、营业厅及国家机关提供公共服务的办事场所等;(二)网吧、幼儿园、青少年宫等。</w:t>
            </w:r>
            <w:r>
              <w:rPr>
                <w:rFonts w:hint="eastAsia" w:ascii="Times New Roman" w:hAnsi="Times New Roman" w:eastAsiaTheme="minorEastAsia"/>
                <w:sz w:val="21"/>
                <w:szCs w:val="21"/>
              </w:rPr>
              <w:t>”</w:t>
            </w:r>
            <w:r>
              <w:rPr>
                <w:rFonts w:ascii="Times New Roman" w:hAnsi="Times New Roman" w:eastAsiaTheme="minorEastAsia"/>
                <w:sz w:val="21"/>
                <w:szCs w:val="21"/>
              </w:rPr>
              <w:t>第六条</w:t>
            </w:r>
            <w:r>
              <w:rPr>
                <w:rFonts w:hint="eastAsia" w:ascii="Times New Roman" w:hAnsi="Times New Roman" w:eastAsiaTheme="minorEastAsia"/>
                <w:sz w:val="21"/>
                <w:szCs w:val="21"/>
              </w:rPr>
              <w:t>：“</w:t>
            </w:r>
            <w:r>
              <w:rPr>
                <w:rFonts w:ascii="Times New Roman" w:hAnsi="Times New Roman" w:cs="Arial" w:eastAsiaTheme="minorEastAsia"/>
                <w:sz w:val="21"/>
                <w:szCs w:val="21"/>
                <w:shd w:val="clear" w:color="auto" w:fill="FFFFFF"/>
              </w:rPr>
              <w:t>甲类场所按照《</w:t>
            </w:r>
            <w:r>
              <w:fldChar w:fldCharType="begin"/>
            </w:r>
            <w:r>
              <w:instrText xml:space="preserve"> HYPERLINK "https://baike.so.com/doc/5379144-5615376.html" \t "_blank" </w:instrText>
            </w:r>
            <w:r>
              <w:fldChar w:fldCharType="separate"/>
            </w:r>
            <w:r>
              <w:rPr>
                <w:rStyle w:val="16"/>
                <w:rFonts w:ascii="Times New Roman" w:hAnsi="Times New Roman"/>
                <w:color w:val="auto"/>
                <w:sz w:val="21"/>
                <w:szCs w:val="21"/>
                <w:u w:val="none"/>
              </w:rPr>
              <w:t>公共场所卫生管理条例</w:t>
            </w:r>
            <w:r>
              <w:rPr>
                <w:rStyle w:val="16"/>
                <w:rFonts w:ascii="Times New Roman" w:hAnsi="Times New Roman"/>
                <w:color w:val="auto"/>
                <w:sz w:val="21"/>
                <w:szCs w:val="21"/>
                <w:u w:val="none"/>
              </w:rPr>
              <w:fldChar w:fldCharType="end"/>
            </w:r>
            <w:r>
              <w:rPr>
                <w:rFonts w:ascii="Times New Roman" w:hAnsi="Times New Roman" w:cs="Arial" w:eastAsiaTheme="minorEastAsia"/>
                <w:sz w:val="21"/>
                <w:szCs w:val="21"/>
                <w:shd w:val="clear" w:color="auto" w:fill="FFFFFF"/>
              </w:rPr>
              <w:t>》规定实行卫生许可，乙类场所按照本办法规定实行备案管理。</w:t>
            </w:r>
            <w:r>
              <w:rPr>
                <w:rFonts w:hint="eastAsia" w:ascii="Times New Roman" w:hAnsi="Times New Roman" w:eastAsiaTheme="minorEastAsia"/>
                <w:sz w:val="21"/>
                <w:szCs w:val="21"/>
              </w:rPr>
              <w:t>”、第二十六条：“</w:t>
            </w:r>
            <w:r>
              <w:rPr>
                <w:rFonts w:ascii="Times New Roman" w:hAnsi="Times New Roman" w:cs="Arial" w:eastAsiaTheme="minorEastAsia"/>
                <w:sz w:val="21"/>
                <w:szCs w:val="21"/>
              </w:rPr>
              <w:t> 甲类场所应当取得卫生行政部门发放的公共场所卫生许可证，有效期限为两年。公共场所单位改变名称、法定代表人或负责人，应当向原发证卫生行政部门申请办理变更;变更经营项目、经营场所地址，应当向卫生行政部门重新申请办理卫生许可证。公共场所卫生许可证应当置于公共场所的醒目位置，不得涂改、倒卖、转让。乙类场所单位应当在开业后30日内将单位名称、地址、项目、法定代表人(或负责人)、联系人、联系电话等向所在地县级卫生行政部门备案。</w:t>
            </w:r>
            <w:r>
              <w:rPr>
                <w:rFonts w:hint="eastAsia" w:ascii="Times New Roman" w:hAnsi="Times New Roman" w:eastAsiaTheme="minorEastAsia"/>
                <w:sz w:val="21"/>
                <w:szCs w:val="21"/>
              </w:rPr>
              <w:t>”第二十七条：“</w:t>
            </w:r>
            <w:r>
              <w:rPr>
                <w:rFonts w:ascii="Times New Roman" w:hAnsi="Times New Roman" w:cs="Arial" w:eastAsiaTheme="minorEastAsia"/>
                <w:sz w:val="21"/>
                <w:szCs w:val="21"/>
              </w:rPr>
              <w:t> 申请公共场所卫生许可证，应当提交下列资料:(一)卫生许可证申请表;(二)法定代表人或负责人身份证明材料;(三)经营场所合法使用证明;(四)公共场所地址方位示意图、平面图和卫生设施平面布局图及卫生审查认可书;(五)卫生管理制度及相关资料;(六)公共场所卫生指标检测或评价合格报告。</w:t>
            </w:r>
            <w:r>
              <w:rPr>
                <w:rFonts w:hint="eastAsia" w:ascii="Times New Roman" w:hAnsi="Times New Roman" w:eastAsiaTheme="minorEastAsia"/>
                <w:sz w:val="21"/>
                <w:szCs w:val="21"/>
              </w:rPr>
              <w:t>”第二十八条：“</w:t>
            </w:r>
            <w:r>
              <w:rPr>
                <w:rFonts w:ascii="Times New Roman" w:hAnsi="Times New Roman" w:cs="Arial" w:eastAsiaTheme="minorEastAsia"/>
                <w:sz w:val="21"/>
                <w:szCs w:val="21"/>
                <w:shd w:val="clear" w:color="auto" w:fill="FFFFFF"/>
              </w:rPr>
              <w:t>卫生行政部门应当在受理卫生许可申请之日起20个工作日内，对卫生条件进行现场检查，并按照法定的权限、范围、条件、程序审核办理。</w:t>
            </w:r>
            <w:r>
              <w:rPr>
                <w:rFonts w:hint="eastAsia" w:ascii="Times New Roman" w:hAnsi="Times New Roman" w:eastAsiaTheme="minor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公共场所卫生许可</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公共场所卫生许可</w:t>
            </w:r>
            <w:r>
              <w:rPr>
                <w:rFonts w:ascii="Times New Roman" w:hAnsi="Times New Roman" w:eastAsiaTheme="minorEastAsia"/>
                <w:szCs w:val="21"/>
              </w:rPr>
              <w:t>书面申请材料。</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w:t>
            </w:r>
            <w:r>
              <w:rPr>
                <w:rFonts w:hint="eastAsia" w:ascii="Times New Roman" w:hAnsi="Times New Roman" w:eastAsiaTheme="minorEastAsia"/>
                <w:szCs w:val="21"/>
              </w:rPr>
              <w:t>申请人提交签章的告知承诺书和规定的申请资料后，行政审批局当场进行审核。对符合条件的，当场作出准予行政许可的决定，并发放《公共场所卫生许可证》。对不符合条件的，作出不予许可的决定。</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 《公共场所卫生管理条例实施细则》（卫生部令第80号，2011年5月1日起实施。根据2016</w:t>
            </w:r>
            <w:r>
              <w:rPr>
                <w:rFonts w:ascii="Times New Roman" w:hAnsi="Times New Roman" w:eastAsiaTheme="minorEastAsia"/>
                <w:szCs w:val="21"/>
              </w:rPr>
              <w:t>年1</w:t>
            </w:r>
            <w:r>
              <w:rPr>
                <w:rFonts w:hint="eastAsia" w:ascii="Times New Roman" w:hAnsi="Times New Roman" w:eastAsiaTheme="minorEastAsia"/>
                <w:szCs w:val="21"/>
              </w:rPr>
              <w:t>月19</w:t>
            </w:r>
            <w:r>
              <w:rPr>
                <w:rFonts w:ascii="Times New Roman" w:hAnsi="Times New Roman" w:eastAsiaTheme="minorEastAsia"/>
                <w:szCs w:val="21"/>
              </w:rPr>
              <w:t>日国家卫生</w:t>
            </w:r>
            <w:r>
              <w:rPr>
                <w:rFonts w:hint="eastAsia" w:ascii="Times New Roman" w:hAnsi="Times New Roman" w:eastAsiaTheme="minorEastAsia"/>
                <w:szCs w:val="21"/>
              </w:rPr>
              <w:t>和计划生育委员会令</w:t>
            </w:r>
            <w:r>
              <w:rPr>
                <w:rFonts w:ascii="Times New Roman" w:hAnsi="Times New Roman" w:eastAsiaTheme="minorEastAsia"/>
                <w:szCs w:val="21"/>
              </w:rPr>
              <w:t>第8号</w:t>
            </w:r>
            <w:r>
              <w:rPr>
                <w:rFonts w:hint="eastAsia" w:ascii="Times New Roman" w:hAnsi="Times New Roman" w:eastAsiaTheme="minorEastAsia"/>
                <w:szCs w:val="21"/>
              </w:rPr>
              <w:t>《国家卫生计生委关于修改（外国医师来华短期行医暂行管理办法）等8部门规章的决定》第一次修订。根据2017年12月26日国家卫生和计划生育委员会令第18号《国家卫生计生委关于修改（新食品原料安全性审查管理办法）等7部门规章的决定》第二次修订。）第二十四条：“</w:t>
            </w:r>
            <w:r>
              <w:rPr>
                <w:rFonts w:ascii="Times New Roman" w:hAnsi="Times New Roman" w:eastAsiaTheme="minorEastAsia"/>
                <w:szCs w:val="21"/>
              </w:rPr>
              <w:t>县级以上地方人民政府卫生行政部门应当自受理公共场所卫生许可申请之日起20日内，对申报资料进行审查，对现场进行审核，符合规定条件的，作出准予公共场所卫生许可的决定;对不符合规定条件的，作出不予行政许可的决定并书面说明理由。</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w:t>
            </w:r>
            <w:r>
              <w:rPr>
                <w:rFonts w:hint="eastAsia" w:ascii="Times New Roman" w:hAnsi="Times New Roman" w:eastAsiaTheme="minorEastAsia"/>
                <w:szCs w:val="21"/>
              </w:rPr>
              <w:t>《公共场所卫生管理条例实施细则》</w:t>
            </w:r>
            <w:r>
              <w:rPr>
                <w:rFonts w:ascii="Times New Roman" w:hAnsi="Times New Roman" w:eastAsiaTheme="minorEastAsia"/>
                <w:szCs w:val="21"/>
              </w:rPr>
              <w:t>、《行政机关公务员处分条例》、</w:t>
            </w:r>
            <w:r>
              <w:rPr>
                <w:rFonts w:hint="eastAsia" w:ascii="Times New Roman" w:hAnsi="Times New Roman" w:eastAsiaTheme="minorEastAsia"/>
                <w:szCs w:val="21"/>
              </w:rPr>
              <w:t>《公共场所卫生管理条例》</w:t>
            </w:r>
            <w:r>
              <w:rPr>
                <w:rFonts w:ascii="Times New Roman" w:hAnsi="Times New Roman" w:eastAsiaTheme="minorEastAsia"/>
                <w:szCs w:val="21"/>
              </w:rPr>
              <w:t>、《四川省行政审批违法违纪行为责任追究办法》、《四川省行政机关工作人员行政过错责任追究试行办法》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rPr>
          <w:rFonts w:ascii="Times New Roman" w:hAnsi="Times New Roman" w:eastAsiaTheme="minorEastAsia"/>
          <w:szCs w:val="21"/>
        </w:rPr>
      </w:pPr>
    </w:p>
    <w:p>
      <w:pPr>
        <w:rPr>
          <w:rFonts w:ascii="Times New Roman" w:hAnsi="Times New Roman"/>
        </w:rPr>
      </w:pPr>
      <w:r>
        <w:rPr>
          <w:rFonts w:ascii="Times New Roman" w:hAnsi="Times New Roman"/>
        </w:rPr>
        <w:br w:type="page"/>
      </w:r>
    </w:p>
    <w:p>
      <w:pPr>
        <w:pStyle w:val="3"/>
        <w:rPr>
          <w:rFonts w:ascii="Times New Roman" w:hAnsi="Times New Roman"/>
        </w:rPr>
      </w:pPr>
      <w:r>
        <w:rPr>
          <w:rFonts w:hint="eastAsia" w:ascii="Times New Roman" w:hAnsi="Times New Roman"/>
        </w:rPr>
        <w:t>表2-84</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放射源诊疗技术和医用辐射机构许可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w:t>
            </w:r>
            <w:r>
              <w:rPr>
                <w:rFonts w:hint="eastAsia" w:ascii="Times New Roman" w:hAnsi="Times New Roman" w:eastAsiaTheme="minorEastAsia"/>
                <w:szCs w:val="21"/>
                <w:lang w:eastAsia="zh-CN"/>
              </w:rPr>
              <w:t>《放射性同位素与射线装置安全和防护条例》</w:t>
            </w:r>
            <w:r>
              <w:rPr>
                <w:rFonts w:hint="eastAsia" w:ascii="Times New Roman" w:hAnsi="Times New Roman" w:eastAsiaTheme="minorEastAsia"/>
                <w:szCs w:val="21"/>
              </w:rPr>
              <w:t>（国务院令第449号2005年9月14日发布）第五条：“生产、销售、使用放射性同位素和射线装置的单位，应当依照本章规定取得许可证。”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2.《放射诊疗管理规定》（卫生部令第46号，2006年1月24日发布）第十一条：“ </w:t>
            </w:r>
            <w:r>
              <w:rPr>
                <w:rFonts w:ascii="Times New Roman" w:hAnsi="Times New Roman" w:eastAsiaTheme="minorEastAsia"/>
                <w:szCs w:val="21"/>
              </w:rPr>
              <w:t>医疗机构设置放射诊疗项目，应当按照其开展的放射诊疗工作的类别，分别向相应的卫生行政部门提出建设项目卫生审查、竣工验收和设置放射诊疗项目申请：（一）开展放射治疗、核医学工作的，向省级卫生行政部门申请办理</w:t>
            </w:r>
            <w:r>
              <w:rPr>
                <w:rFonts w:hint="eastAsia" w:ascii="Times New Roman" w:hAnsi="Times New Roman" w:eastAsiaTheme="minorEastAsia"/>
                <w:szCs w:val="21"/>
              </w:rPr>
              <w:t>；</w:t>
            </w:r>
            <w:r>
              <w:rPr>
                <w:rFonts w:ascii="Times New Roman" w:hAnsi="Times New Roman" w:eastAsiaTheme="minorEastAsia"/>
                <w:szCs w:val="21"/>
              </w:rPr>
              <w:t>（二）开展介入放射学工作的，向设区的市级卫生行政部门申请办理；（三）开展X射线影像诊断工作的，向县级卫生行政部门申请办理。同时开展不同类别放射诊疗工作的，向具有高类别审批权的卫生行政部门申请办理。</w:t>
            </w:r>
            <w:r>
              <w:rPr>
                <w:rFonts w:hint="eastAsia" w:ascii="Times New Roman" w:hAnsi="Times New Roman" w:eastAsiaTheme="minorEastAsia"/>
                <w:szCs w:val="21"/>
              </w:rPr>
              <w:t>”</w:t>
            </w:r>
            <w:r>
              <w:rPr>
                <w:rFonts w:ascii="Times New Roman" w:hAnsi="Times New Roman" w:eastAsiaTheme="minorEastAsia"/>
                <w:szCs w:val="21"/>
              </w:rPr>
              <w:t>第十二条</w:t>
            </w:r>
            <w:r>
              <w:rPr>
                <w:rFonts w:hint="eastAsia" w:ascii="Times New Roman" w:hAnsi="Times New Roman" w:eastAsiaTheme="minorEastAsia"/>
                <w:szCs w:val="21"/>
              </w:rPr>
              <w:t>：“</w:t>
            </w:r>
            <w:r>
              <w:rPr>
                <w:rFonts w:ascii="Times New Roman" w:hAnsi="Times New Roman" w:eastAsiaTheme="minorEastAsia"/>
                <w:szCs w:val="21"/>
              </w:rPr>
              <w:t>新建、扩建、改建放射诊疗建设项目，医疗机构应当在建设项目施工前向相应的卫生行政部门提交职业病危害放射防护预评价报告，申请进行建设项目卫生审查。立体定向放射治疗、质子治疗、重离子治疗、带回旋加速器的正电子发射断层扫描诊断等放射诊疗建设项目，还应当提交卫生部指定的放射卫生技术机构出具的预评价报告技术审查意见。卫生行政部门应当自收到预评价报告之日起30日内，作出审核决定。经审核符合国家相关卫生标准和要求的，方可施工。</w:t>
            </w:r>
            <w:r>
              <w:rPr>
                <w:rFonts w:hint="eastAsia" w:ascii="Times New Roman" w:hAnsi="Times New Roman" w:eastAsiaTheme="minorEastAsia"/>
                <w:szCs w:val="21"/>
              </w:rPr>
              <w:t>”</w:t>
            </w:r>
            <w:r>
              <w:rPr>
                <w:rFonts w:ascii="Times New Roman" w:hAnsi="Times New Roman" w:eastAsiaTheme="minorEastAsia"/>
                <w:szCs w:val="21"/>
              </w:rPr>
              <w:t>第十三条</w:t>
            </w:r>
            <w:r>
              <w:rPr>
                <w:rFonts w:hint="eastAsia" w:ascii="Times New Roman" w:hAnsi="Times New Roman" w:eastAsiaTheme="minorEastAsia"/>
                <w:szCs w:val="21"/>
              </w:rPr>
              <w:t>：“</w:t>
            </w:r>
            <w:r>
              <w:rPr>
                <w:rFonts w:ascii="Times New Roman" w:hAnsi="Times New Roman" w:eastAsiaTheme="minorEastAsia"/>
                <w:szCs w:val="21"/>
              </w:rPr>
              <w:t>医疗机构在放射诊疗建设项目竣工验收前，应当进行职业病危害控制效果评价；并向相应的卫生行政部门提交下列资料，申请进行卫生验收：（一）建设项目竣工卫生验收申请；（二）建设项目卫生审查资料；（三）职业病危害控制效果放射防护评价报告；（四）放射诊疗建设项目验收报告。立体定向放射治疗、质子治疗、重离子治疗、带回旋加速器的正电子发射断层扫描诊断等放射诊疗建设项目，应当提交卫生部指定的放射卫生技术机构出具的职业病危害控制效果评价报告技术审查意见和设备性能检测报告。</w:t>
            </w:r>
            <w:bookmarkStart w:id="0" w:name="ref_[2]_814232"/>
            <w:r>
              <w:rPr>
                <w:rFonts w:hint="eastAsia" w:ascii="Times New Roman" w:hAnsi="Times New Roman" w:eastAsiaTheme="minorEastAsia"/>
                <w:szCs w:val="21"/>
              </w:rPr>
              <w:t>”</w:t>
            </w:r>
            <w:bookmarkEnd w:id="0"/>
            <w:r>
              <w:rPr>
                <w:rFonts w:ascii="Times New Roman" w:hAnsi="Times New Roman" w:eastAsiaTheme="minorEastAsia"/>
                <w:szCs w:val="21"/>
              </w:rPr>
              <w:t>第十四条</w:t>
            </w:r>
            <w:r>
              <w:rPr>
                <w:rFonts w:hint="eastAsia" w:ascii="Times New Roman" w:hAnsi="Times New Roman" w:eastAsiaTheme="minorEastAsia"/>
                <w:szCs w:val="21"/>
              </w:rPr>
              <w:t>：“</w:t>
            </w:r>
            <w:r>
              <w:rPr>
                <w:rFonts w:ascii="Times New Roman" w:hAnsi="Times New Roman" w:eastAsiaTheme="minorEastAsia"/>
                <w:szCs w:val="21"/>
              </w:rPr>
              <w:t>医疗机构在开展放射诊疗工作前，应当提交下列资料，向相应的卫生行政部门提出放射诊疗许可申请：（一）放射诊疗许可申请表；（二）《医疗机构执业许可证》或《设置医疗机构批准书》（复印件）；（三）放射诊疗专业技术人员的</w:t>
            </w:r>
            <w:r>
              <w:fldChar w:fldCharType="begin"/>
            </w:r>
            <w:r>
              <w:instrText xml:space="preserve"> HYPERLINK "http://baike.baidu.com/view/4031548.htm" \t "http://baike.baidu.com/_blank" </w:instrText>
            </w:r>
            <w:r>
              <w:fldChar w:fldCharType="separate"/>
            </w:r>
            <w:r>
              <w:rPr>
                <w:rStyle w:val="16"/>
                <w:rFonts w:ascii="Times New Roman" w:hAnsi="Times New Roman"/>
                <w:color w:val="auto"/>
                <w:u w:val="none"/>
              </w:rPr>
              <w:t>任职资格证书</w:t>
            </w:r>
            <w:r>
              <w:rPr>
                <w:rStyle w:val="16"/>
                <w:rFonts w:ascii="Times New Roman" w:hAnsi="Times New Roman"/>
                <w:color w:val="auto"/>
                <w:u w:val="none"/>
              </w:rPr>
              <w:fldChar w:fldCharType="end"/>
            </w:r>
            <w:r>
              <w:rPr>
                <w:rFonts w:ascii="Times New Roman" w:hAnsi="Times New Roman" w:eastAsiaTheme="minorEastAsia"/>
                <w:szCs w:val="21"/>
              </w:rPr>
              <w:t>（复印件）；（四）放射诊疗设备清单；（五）放射诊疗建设项目竣工验收合格证明文件。</w:t>
            </w:r>
            <w:r>
              <w:rPr>
                <w:rFonts w:hint="eastAsia" w:ascii="Times New Roman" w:hAnsi="Times New Roman" w:eastAsiaTheme="minorEastAsia"/>
                <w:szCs w:val="21"/>
              </w:rPr>
              <w:t>”</w:t>
            </w:r>
            <w:r>
              <w:rPr>
                <w:rFonts w:ascii="Times New Roman" w:hAnsi="Times New Roman" w:eastAsiaTheme="minorEastAsia"/>
                <w:szCs w:val="21"/>
              </w:rPr>
              <w:t>第十五条</w:t>
            </w:r>
            <w:r>
              <w:rPr>
                <w:rFonts w:hint="eastAsia" w:ascii="Times New Roman" w:hAnsi="Times New Roman" w:eastAsiaTheme="minorEastAsia"/>
                <w:szCs w:val="21"/>
              </w:rPr>
              <w:t>：“</w:t>
            </w:r>
            <w:r>
              <w:rPr>
                <w:rFonts w:ascii="Times New Roman" w:hAnsi="Times New Roman" w:eastAsiaTheme="minorEastAsia"/>
                <w:szCs w:val="21"/>
              </w:rPr>
              <w:t>卫生行政部门对符合受理条件的申请应当即时受理；不符合要求的，应当在5日内一次性告知申请人需要补正的资料或者不予受理的理由。卫生行政部门应当自受理之日起20日内作出审查决定，对合格的予以批准，发给《放射诊疗许可证》；不予批准的，应当书面说明理由。《放射诊疗许可证》的格式由卫生部统一规定（见附件）。</w:t>
            </w:r>
            <w:r>
              <w:rPr>
                <w:rFonts w:hint="eastAsia" w:ascii="Times New Roman" w:hAnsi="Times New Roman" w:eastAsia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1.受理责任：公示放射诊疗许可应当提交的材料，对书面申请材料进行形式审查，一次性告知补正材料，依法受理或不予受理（不予受理应当告知理由）。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2.审查责任：对放射诊疗许可书面申请材料和现场设置进行审查，提出审核意见。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3.决定责任：在规定时限内，对申请放射诊疗许可的作出行政许可或者不予行政许可决定，法定告知（不予许可的应当书面告知理由）。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1-2.《放射诊疗管理规定》（卫生部令第46号，2006年1月24日发布）</w:t>
            </w:r>
            <w:r>
              <w:rPr>
                <w:rFonts w:ascii="Times New Roman" w:hAnsi="Times New Roman" w:eastAsiaTheme="minorEastAsia"/>
                <w:szCs w:val="21"/>
              </w:rPr>
              <w:t>第十五条</w:t>
            </w:r>
            <w:r>
              <w:rPr>
                <w:rFonts w:hint="eastAsia" w:ascii="Times New Roman" w:hAnsi="Times New Roman" w:eastAsiaTheme="minorEastAsia"/>
                <w:szCs w:val="21"/>
              </w:rPr>
              <w:t>第一款：“</w:t>
            </w:r>
            <w:r>
              <w:rPr>
                <w:rFonts w:ascii="Times New Roman" w:hAnsi="Times New Roman" w:eastAsiaTheme="minorEastAsia"/>
                <w:szCs w:val="21"/>
              </w:rPr>
              <w:t>卫生行政部门对符合受理条件的申请应当即时受理；不符合要求的，应当在5日内一次性告知申请人需要补正的资料或者不予受理的理由。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numPr>
                <w:ilvl w:val="0"/>
                <w:numId w:val="3"/>
              </w:num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《放射诊疗管理规定》（卫生部令第46号，2006年1月24日发布）</w:t>
            </w:r>
            <w:r>
              <w:rPr>
                <w:rFonts w:ascii="Times New Roman" w:hAnsi="Times New Roman" w:eastAsiaTheme="minorEastAsia"/>
                <w:szCs w:val="21"/>
              </w:rPr>
              <w:t>第十五条</w:t>
            </w:r>
            <w:r>
              <w:rPr>
                <w:rFonts w:hint="eastAsia" w:ascii="Times New Roman" w:hAnsi="Times New Roman" w:eastAsiaTheme="minorEastAsia"/>
                <w:szCs w:val="21"/>
              </w:rPr>
              <w:t>第二款：“</w:t>
            </w:r>
            <w:r>
              <w:rPr>
                <w:rFonts w:ascii="Times New Roman" w:hAnsi="Times New Roman" w:eastAsiaTheme="minorEastAsia"/>
                <w:szCs w:val="21"/>
              </w:rPr>
              <w:t>卫生行政部门应当自受理之日起20日内作出审查决定，对合格的予以批准，发给《放射诊疗许可证》；不予批准的，应当书面说明理由。</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4-1．《中华人民共和国行政许可法》第四十条：“行政机关作出准予行政许可的决定，应当予以公开，公众有权查阅。”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eastAsiaTheme="minorEastAsia"/>
                <w:szCs w:val="21"/>
              </w:rPr>
              <w:t>《放射诊疗管理规定》</w:t>
            </w:r>
            <w:r>
              <w:rPr>
                <w:rFonts w:ascii="Times New Roman" w:hAnsi="Times New Roman" w:eastAsiaTheme="minorEastAsia"/>
                <w:szCs w:val="21"/>
              </w:rPr>
              <w:t>、《四川省行政审批违法违纪行为责任追究办法》、《四川省行政机关工作人员行政过错责任追究试行办法》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spacing w:line="360" w:lineRule="exac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表2-85</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职业病诊断资格证书核发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pStyle w:val="10"/>
              <w:spacing w:before="0" w:beforeAutospacing="0" w:after="0" w:afterAutospacing="0" w:line="360" w:lineRule="exact"/>
              <w:ind w:firstLine="420" w:firstLineChars="200"/>
              <w:jc w:val="both"/>
              <w:rPr>
                <w:rFonts w:ascii="Times New Roman" w:hAnsi="Times New Roman" w:eastAsiaTheme="minorEastAsia"/>
                <w:sz w:val="21"/>
                <w:szCs w:val="21"/>
              </w:rPr>
            </w:pPr>
            <w:r>
              <w:rPr>
                <w:rFonts w:hint="eastAsia" w:ascii="Times New Roman" w:hAnsi="Times New Roman" w:cs="Times New Roman" w:eastAsiaTheme="minorEastAsia"/>
                <w:kern w:val="2"/>
                <w:sz w:val="21"/>
                <w:szCs w:val="21"/>
              </w:rPr>
              <w:t>1.《职业病诊断与鉴定管理办法》（中华人民共和国国家卫生健康委员会令第6号《职业病诊断与鉴定管理办法》已经2020年12月4日第2次委务会议审议通过，现予公布，自公布之日起施行。）第十六条：“</w:t>
            </w:r>
            <w:r>
              <w:rPr>
                <w:rFonts w:ascii="Times New Roman" w:hAnsi="Times New Roman" w:cs="Times New Roman" w:eastAsiaTheme="minorEastAsia"/>
                <w:kern w:val="2"/>
                <w:sz w:val="21"/>
                <w:szCs w:val="21"/>
              </w:rPr>
              <w:t>从事职业病诊断的医师应当具备下列条件，并取得省级卫生行政部门颁发的职业病诊断资格证书：（一）具有医师执业证书；（二）具有中级以上卫生专业技术职务任职资格；（三）熟悉职业病防治法律法规和职业病诊断标准；（四）从事职业病诊断、鉴定相关工作三年以上；（五）按规定参加职业病诊断医师相应专业的培训，并考核合格。</w:t>
            </w:r>
            <w:r>
              <w:rPr>
                <w:rFonts w:hint="eastAsia" w:ascii="Times New Roman" w:hAnsi="Times New Roman" w:cs="Times New Roman" w:eastAsiaTheme="minorEastAsia"/>
                <w:kern w:val="2"/>
                <w:sz w:val="21"/>
                <w:szCs w:val="21"/>
              </w:rPr>
              <w:t>” 第十七条：“职业病诊断医师应当依法在职业病诊断机构备案的诊断项目范围内从事职业病诊断工作，不得从事超出其职业病诊断资格范围的职业病诊断工作；职业病诊断医师应当按照有关规定参加职业卫生、放射卫生、职业医学等领域的继续医学教育。”第二十九条：“职业病诊断机构可以根据诊断需要，聘请其他单位职业病诊断医师参加诊断。必要时，可以邀请相关专业专家提供咨询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职业病诊断资格证书核发定</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职业病诊断资格证书核发</w:t>
            </w:r>
            <w:r>
              <w:rPr>
                <w:rFonts w:ascii="Times New Roman" w:hAnsi="Times New Roman" w:eastAsiaTheme="minorEastAsia"/>
                <w:szCs w:val="21"/>
              </w:rPr>
              <w:t>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对申请职业病诊断资格证书核发的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w:t>
            </w:r>
            <w:r>
              <w:rPr>
                <w:rFonts w:ascii="Times New Roman" w:hAnsi="Times New Roman" w:eastAsiaTheme="minorEastAsia"/>
                <w:szCs w:val="21"/>
              </w:rPr>
              <w:t>．《中华人民共和国行政许可法》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w:t>
            </w:r>
            <w:r>
              <w:rPr>
                <w:rFonts w:ascii="Times New Roman" w:hAnsi="Times New Roman" w:eastAsiaTheme="minorEastAsia"/>
                <w:szCs w:val="21"/>
              </w:rPr>
              <w:t>《中华人民共和国行政许可法》第三十</w:t>
            </w:r>
            <w:r>
              <w:rPr>
                <w:rFonts w:hint="eastAsia" w:ascii="Times New Roman" w:hAnsi="Times New Roman" w:eastAsiaTheme="minorEastAsia"/>
                <w:szCs w:val="21"/>
              </w:rPr>
              <w:t>七</w:t>
            </w:r>
            <w:r>
              <w:rPr>
                <w:rFonts w:ascii="Times New Roman" w:hAnsi="Times New Roman" w:eastAsiaTheme="minorEastAsia"/>
                <w:szCs w:val="21"/>
              </w:rPr>
              <w:t>条：“</w:t>
            </w:r>
            <w:r>
              <w:rPr>
                <w:rFonts w:hint="eastAsia" w:ascii="Times New Roman" w:hAnsi="Times New Roman" w:eastAsiaTheme="minorEastAsia"/>
                <w:szCs w:val="21"/>
              </w:rPr>
              <w:t>行政机关对行政许可申请进行审查后，除当场作出行政许可决定的外，应当在法定期限内按照规定程序作出行政许可决定。”</w:t>
            </w:r>
            <w:r>
              <w:rPr>
                <w:rFonts w:ascii="Times New Roman" w:hAnsi="Times New Roman" w:eastAsiaTheme="minorEastAsia"/>
                <w:szCs w:val="21"/>
              </w:rPr>
              <w:t>第三十</w:t>
            </w:r>
            <w:r>
              <w:rPr>
                <w:rFonts w:hint="eastAsia" w:ascii="Times New Roman" w:hAnsi="Times New Roman" w:eastAsiaTheme="minorEastAsia"/>
                <w:szCs w:val="21"/>
              </w:rPr>
              <w:t>八</w:t>
            </w:r>
            <w:r>
              <w:rPr>
                <w:rFonts w:ascii="Times New Roman" w:hAnsi="Times New Roman" w:eastAsiaTheme="minorEastAsia"/>
                <w:szCs w:val="21"/>
              </w:rPr>
              <w:t>条：“</w:t>
            </w:r>
            <w:r>
              <w:rPr>
                <w:rFonts w:hint="eastAsia" w:ascii="Times New Roman" w:hAnsi="Times New Roman" w:eastAsiaTheme="minorEastAsia"/>
                <w:szCs w:val="21"/>
              </w:rPr>
              <w:t>申请人的申请符合法定条件、标准的，行政机关应当依法作出准予行政许可的书面决定。行政机关依法作出不予行政许可的书面决定的，应当说明理由，并告知申请人享有依法申请行政复议或者提起行政诉讼的权利。”</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w:t>
            </w:r>
            <w:r>
              <w:rPr>
                <w:rFonts w:hint="eastAsia" w:ascii="Times New Roman" w:hAnsi="Times New Roman" w:eastAsiaTheme="minorEastAsia"/>
                <w:szCs w:val="21"/>
              </w:rPr>
              <w:t>《职业病诊断与鉴定管理办法》</w:t>
            </w:r>
            <w:r>
              <w:rPr>
                <w:rFonts w:ascii="Times New Roman" w:hAnsi="Times New Roman" w:eastAsiaTheme="minorEastAsia"/>
                <w:szCs w:val="21"/>
              </w:rPr>
              <w:t>、《行政机关公务员处分条例》、《四川省行政审批违法违纪行为责任追究办法》、《四川省行政机关工作人员行政过错责任追究试行办法》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spacing w:line="360" w:lineRule="exac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表2-86</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乡村医生执业注册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1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1.《乡村医生从业管理条例》（国务院令第386号）第九条：“</w:t>
            </w:r>
            <w:r>
              <w:rPr>
                <w:rFonts w:ascii="Times New Roman" w:hAnsi="Times New Roman" w:eastAsiaTheme="minorEastAsia"/>
                <w:szCs w:val="21"/>
              </w:rPr>
              <w:t>国家实行乡村医生执业注册制度。县级人民政府卫生行政主管部门负责乡村医生执业注册工作。</w:t>
            </w:r>
            <w:r>
              <w:rPr>
                <w:rFonts w:hint="eastAsia" w:ascii="Times New Roman" w:hAnsi="Times New Roman" w:eastAsiaTheme="minorEastAsia"/>
                <w:szCs w:val="21"/>
              </w:rPr>
              <w:t>”第十三条：“</w:t>
            </w:r>
            <w:r>
              <w:rPr>
                <w:rFonts w:ascii="Times New Roman" w:hAnsi="Times New Roman" w:eastAsiaTheme="minorEastAsia"/>
                <w:szCs w:val="21"/>
              </w:rPr>
              <w:t>符合本条例规定申请在村医疗卫生机构执业的人员，应当持村医疗卫生机构出具的拟聘用证明和相关学历证明、证书，向村医疗卫生机构所在地的县级人民政府卫生行政主管部门申请执业注册。县级人民政府卫生行政主管部门应当自受理申请之日起15日内完成审核工作，对符合本条例规定条件的，准予执业注册，发给乡村医生执业证书;对不符合本条例规定条件的，不予注册，并书面说明理由。</w:t>
            </w:r>
            <w:r>
              <w:rPr>
                <w:rFonts w:hint="eastAsia" w:ascii="Times New Roman" w:hAnsi="Times New Roman" w:eastAsiaTheme="minorEastAsia"/>
                <w:szCs w:val="21"/>
              </w:rPr>
              <w:t>”第十六条：“</w:t>
            </w:r>
            <w:r>
              <w:rPr>
                <w:rFonts w:ascii="Times New Roman" w:hAnsi="Times New Roman" w:eastAsiaTheme="minorEastAsia"/>
                <w:szCs w:val="21"/>
              </w:rPr>
              <w:t>乡村医生执业证书有效期为5年。乡村医生执业证书有效期满需要继续执业的，应当在有效期满前3个月申请再注册。县级人民政府卫生行政主管部门应当自受理申请之日起15日内进行审核，对符合省、自治区、直辖市人民政府卫生行政主管部门规定条件的，准予再注册，换发乡村医生执业证书;对不符合条件的，不予再注册，由发证部门收回原乡村医生执业证书。</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2.《四川省乡村医生执业注册暂行规定》（2004年1月6日，川卫发[2004]1号）第二条：“</w:t>
            </w:r>
            <w:r>
              <w:rPr>
                <w:rFonts w:ascii="Times New Roman" w:hAnsi="Times New Roman" w:eastAsiaTheme="minorEastAsia"/>
                <w:szCs w:val="21"/>
              </w:rPr>
              <w:t>乡村医生经注册取得《乡村医生执业证书》后，方可在注册的村医疗卫生机构从事预防、保健和一般医疗服务活动。未经注册取得《乡村医生执业证书》的，不得执业。</w:t>
            </w:r>
            <w:r>
              <w:rPr>
                <w:rFonts w:hint="eastAsia" w:ascii="Times New Roman" w:hAnsi="Times New Roman" w:eastAsiaTheme="minorEastAsia"/>
                <w:szCs w:val="21"/>
              </w:rPr>
              <w:t>”第八条：“</w:t>
            </w:r>
            <w:r>
              <w:rPr>
                <w:rFonts w:ascii="Times New Roman" w:hAnsi="Times New Roman" w:eastAsiaTheme="minorEastAsia"/>
                <w:szCs w:val="21"/>
              </w:rPr>
              <w:t>拟在村医疗卫生机构中执业的乡村医生、取得执业医师或执业助理医师资格的人员，应当向所在地的县级卫生行政主管部门申请注册。</w:t>
            </w:r>
            <w:r>
              <w:rPr>
                <w:rFonts w:hint="eastAsia" w:ascii="Times New Roman" w:hAnsi="Times New Roman" w:eastAsiaTheme="minorEastAsia"/>
                <w:szCs w:val="21"/>
              </w:rPr>
              <w:t>”第九条：“</w:t>
            </w:r>
            <w:r>
              <w:rPr>
                <w:rFonts w:ascii="Times New Roman" w:hAnsi="Times New Roman" w:eastAsiaTheme="minorEastAsia"/>
                <w:szCs w:val="21"/>
              </w:rPr>
              <w:t>申请乡村医生执业注册，应当提交下列材料：（一）乡村医生执业注册申请审核表；（二）二寸免冠正面半身件照片两张；（三）申请人6月内的健康体检表；（四）县级以上卫生行政主管部门颁发的《乡村医生证书》；（五）中等以上医学专业学历或由乡镇卫生院出具的村医疗卫生机构连续工作20年以上的证明或四川省卫生厅颁发的《乡村医生中专水平考试合格证书》；（六）申请人身份证明；（七）村医疗机构拟聘用证明；（八）具有执业医师或执业助理医生资格的人员除提交前面（一）、（二）、（三）、（六）、（七）款材料外，还需提交《执业医师资格证》或《执业助理医师资格证》。</w:t>
            </w:r>
            <w:r>
              <w:rPr>
                <w:rFonts w:hint="eastAsia" w:ascii="Times New Roman" w:hAnsi="Times New Roman" w:eastAsiaTheme="minorEastAsia"/>
                <w:szCs w:val="21"/>
              </w:rPr>
              <w:t>”第十条：“</w:t>
            </w:r>
            <w:r>
              <w:rPr>
                <w:rFonts w:ascii="Times New Roman" w:hAnsi="Times New Roman" w:eastAsiaTheme="minorEastAsia"/>
                <w:szCs w:val="21"/>
              </w:rPr>
              <w:t>县级卫生行政主管部门应当自受理注册申请之日起十五个工作</w:t>
            </w:r>
            <w:r>
              <w:rPr>
                <w:rFonts w:hint="eastAsia" w:ascii="Times New Roman" w:hAnsi="Times New Roman" w:eastAsiaTheme="minorEastAsia"/>
                <w:szCs w:val="21"/>
              </w:rPr>
              <w:t>日</w:t>
            </w:r>
            <w:r>
              <w:rPr>
                <w:rFonts w:ascii="Times New Roman" w:hAnsi="Times New Roman" w:eastAsiaTheme="minorEastAsia"/>
                <w:szCs w:val="21"/>
              </w:rPr>
              <w:t>内，对申请人提交的申请材料进行审核。审核合格的，予以注册，并发给四川省卫生厅统一印制的《乡村医生执业证书》。不予以注册的，书面说明理由。</w:t>
            </w:r>
            <w:r>
              <w:rPr>
                <w:rFonts w:hint="eastAsia" w:ascii="Times New Roman" w:hAnsi="Times New Roman" w:eastAsia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乡村医生执业注册</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乡村医生执业注册</w:t>
            </w:r>
            <w:r>
              <w:rPr>
                <w:rFonts w:ascii="Times New Roman" w:hAnsi="Times New Roman" w:eastAsiaTheme="minorEastAsia"/>
                <w:szCs w:val="21"/>
              </w:rPr>
              <w:t>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对申请乡村医生执业注册的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3-1.《乡村医生从业管理条例》（国务院令第386号）第十三条：“</w:t>
            </w:r>
            <w:r>
              <w:rPr>
                <w:rFonts w:ascii="Times New Roman" w:hAnsi="Times New Roman" w:eastAsiaTheme="minorEastAsia"/>
                <w:szCs w:val="21"/>
              </w:rPr>
              <w:t>符合本条例规定申请在村医疗卫生机构执业的人员，应当持村医疗卫生机构出具的拟聘用证明和相关学历证明、证书，向村医疗卫生机构所在地的县级人民政府卫生行政主管部门申请执业注册。县级人民政府卫生行政主管部门应当自受理申请之日起15日内完成审核工作，对符合本条例规定条件的，准予执业注册，发给乡村医生执业证书;对不符合本条例规定条件的，不予注册，并书面说明理由。</w:t>
            </w:r>
            <w:r>
              <w:rPr>
                <w:rFonts w:hint="eastAsia" w:ascii="Times New Roman" w:hAnsi="Times New Roman" w:eastAsiaTheme="minorEastAsia"/>
                <w:szCs w:val="21"/>
              </w:rPr>
              <w:t>”第十六条：“</w:t>
            </w:r>
            <w:r>
              <w:rPr>
                <w:rFonts w:ascii="Times New Roman" w:hAnsi="Times New Roman" w:eastAsiaTheme="minorEastAsia"/>
                <w:szCs w:val="21"/>
              </w:rPr>
              <w:t>乡村医生执业证书有效期为5年。乡村医生执业证书有效期满需要继续执业的，应当在有效期满前3个月申请再注册。县级人民政府卫生行政主管部门应当自受理申请之日起15日内进行审核，对符合省、自治区、直辖市人民政府卫生行政主管部门规定条件的，准予再注册，换发乡村医生执业证书;对不符合条件的，不予再注册，由发证部门收回原乡村医生执业证书。</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3-2.《四川省乡村医生执业注册暂行规定》（2004年1月6日，川卫发[2004]1号）第十条：“</w:t>
            </w:r>
            <w:r>
              <w:rPr>
                <w:rFonts w:ascii="Times New Roman" w:hAnsi="Times New Roman" w:eastAsiaTheme="minorEastAsia"/>
                <w:szCs w:val="21"/>
              </w:rPr>
              <w:t>县级卫生行政主管部门应当自受理注册申请之日起十五个工作</w:t>
            </w:r>
            <w:r>
              <w:rPr>
                <w:rFonts w:hint="eastAsia" w:ascii="Times New Roman" w:hAnsi="Times New Roman" w:eastAsiaTheme="minorEastAsia"/>
                <w:szCs w:val="21"/>
              </w:rPr>
              <w:t>日</w:t>
            </w:r>
            <w:r>
              <w:rPr>
                <w:rFonts w:ascii="Times New Roman" w:hAnsi="Times New Roman" w:eastAsiaTheme="minorEastAsia"/>
                <w:szCs w:val="21"/>
              </w:rPr>
              <w:t>内，对申请人提交的申请材料进行审核。审核合格的，予以注册，并发给四川省卫生厅统一印制的《乡村医生执业证书》。不予以注册的，书面说明理由。</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eastAsiaTheme="minorEastAsia"/>
                <w:szCs w:val="21"/>
              </w:rPr>
              <w:t>《乡村医生从业管理条例》</w:t>
            </w:r>
            <w:r>
              <w:rPr>
                <w:rFonts w:ascii="Times New Roman" w:hAnsi="Times New Roman" w:eastAsiaTheme="minorEastAsia"/>
                <w:szCs w:val="21"/>
              </w:rPr>
              <w:t>、《四川省行政审批违法违纪行为责任追究办法》、《四川省行政机关工作人员行政过错责任追究试行办法》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widowControl/>
        <w:spacing w:line="360" w:lineRule="exact"/>
        <w:jc w:val="lef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表2-87</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社区卫生服务机构设置许可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1.《医疗机构管理条例》（国务院令第149号，1994年9月1日起施行）第九条：“</w:t>
            </w:r>
            <w:r>
              <w:rPr>
                <w:rFonts w:ascii="Times New Roman" w:hAnsi="Times New Roman" w:eastAsiaTheme="minorEastAsia"/>
                <w:szCs w:val="21"/>
              </w:rPr>
              <w:t>单位或者个人设置医疗机构，必须经县级以上地方人民政府卫生行政部门审查批准，并取得设置医疗机构批准书，方可向</w:t>
            </w:r>
            <w:r>
              <w:fldChar w:fldCharType="begin"/>
            </w:r>
            <w:r>
              <w:instrText xml:space="preserve"> HYPERLINK "http://baike.so.com/doc/5574532.html" \t "http://baike.so.com/doc/_blank" </w:instrText>
            </w:r>
            <w:r>
              <w:fldChar w:fldCharType="separate"/>
            </w:r>
            <w:r>
              <w:rPr>
                <w:rStyle w:val="16"/>
                <w:rFonts w:ascii="Times New Roman" w:hAnsi="Times New Roman"/>
                <w:color w:val="auto"/>
                <w:u w:val="none"/>
              </w:rPr>
              <w:t>有关部门</w:t>
            </w:r>
            <w:r>
              <w:rPr>
                <w:rStyle w:val="16"/>
                <w:rFonts w:ascii="Times New Roman" w:hAnsi="Times New Roman"/>
                <w:color w:val="auto"/>
                <w:u w:val="none"/>
              </w:rPr>
              <w:fldChar w:fldCharType="end"/>
            </w:r>
            <w:r>
              <w:rPr>
                <w:rFonts w:ascii="Times New Roman" w:hAnsi="Times New Roman" w:eastAsiaTheme="minorEastAsia"/>
                <w:szCs w:val="21"/>
              </w:rPr>
              <w:t>办理其他手续。</w:t>
            </w:r>
            <w:r>
              <w:rPr>
                <w:rFonts w:hint="eastAsia" w:ascii="Times New Roman" w:hAnsi="Times New Roman" w:eastAsiaTheme="minorEastAsia"/>
                <w:szCs w:val="21"/>
              </w:rPr>
              <w:t>”第十条：“</w:t>
            </w:r>
            <w:r>
              <w:rPr>
                <w:rFonts w:ascii="Times New Roman" w:hAnsi="Times New Roman" w:eastAsiaTheme="minorEastAsia"/>
                <w:szCs w:val="21"/>
              </w:rPr>
              <w:t>申请设置医疗机构，应当提交下列文件：（一）设置申请书；（二）设置</w:t>
            </w:r>
            <w:r>
              <w:fldChar w:fldCharType="begin"/>
            </w:r>
            <w:r>
              <w:instrText xml:space="preserve"> HYPERLINK "http://baike.so.com/doc/5336858.html" \t "http://baike.so.com/doc/_blank" </w:instrText>
            </w:r>
            <w:r>
              <w:fldChar w:fldCharType="separate"/>
            </w:r>
            <w:r>
              <w:rPr>
                <w:rStyle w:val="16"/>
                <w:rFonts w:ascii="Times New Roman" w:hAnsi="Times New Roman"/>
                <w:color w:val="auto"/>
                <w:u w:val="none"/>
              </w:rPr>
              <w:t>可行性研究报告</w:t>
            </w:r>
            <w:r>
              <w:rPr>
                <w:rStyle w:val="16"/>
                <w:rFonts w:ascii="Times New Roman" w:hAnsi="Times New Roman"/>
                <w:color w:val="auto"/>
                <w:u w:val="none"/>
              </w:rPr>
              <w:fldChar w:fldCharType="end"/>
            </w:r>
            <w:r>
              <w:rPr>
                <w:rFonts w:ascii="Times New Roman" w:hAnsi="Times New Roman" w:eastAsiaTheme="minorEastAsia"/>
                <w:szCs w:val="21"/>
              </w:rPr>
              <w:t>；（三）选址报告和建筑设计平面图。</w:t>
            </w:r>
            <w:r>
              <w:rPr>
                <w:rFonts w:hint="eastAsia" w:ascii="Times New Roman" w:hAnsi="Times New Roman" w:eastAsiaTheme="minorEastAsia"/>
                <w:szCs w:val="21"/>
              </w:rPr>
              <w:t>”</w:t>
            </w:r>
            <w:r>
              <w:rPr>
                <w:rFonts w:ascii="Times New Roman" w:hAnsi="Times New Roman" w:eastAsiaTheme="minorEastAsia"/>
                <w:szCs w:val="21"/>
              </w:rPr>
              <w:t>第十二条</w:t>
            </w:r>
            <w:r>
              <w:rPr>
                <w:rFonts w:hint="eastAsia" w:ascii="Times New Roman" w:hAnsi="Times New Roman" w:eastAsiaTheme="minorEastAsia"/>
                <w:szCs w:val="21"/>
              </w:rPr>
              <w:t>：“</w:t>
            </w:r>
            <w:r>
              <w:rPr>
                <w:rFonts w:ascii="Times New Roman" w:hAnsi="Times New Roman" w:eastAsiaTheme="minorEastAsia"/>
                <w:szCs w:val="21"/>
              </w:rPr>
              <w:t>县级以上地方人民政府卫生行政部门应当自受理设置申请之日起30日内，作出批准或者不批准的书面答复；批准设置的，发给设置医疗机构批准书。</w:t>
            </w:r>
            <w:r>
              <w:rPr>
                <w:rFonts w:hint="eastAsia" w:ascii="Times New Roman" w:hAnsi="Times New Roman" w:eastAsiaTheme="minorEastAsia"/>
                <w:szCs w:val="21"/>
              </w:rPr>
              <w:t>”</w:t>
            </w:r>
            <w:r>
              <w:rPr>
                <w:rFonts w:ascii="Times New Roman" w:hAnsi="Times New Roman" w:eastAsiaTheme="minorEastAsia"/>
                <w:szCs w:val="21"/>
              </w:rPr>
              <w:t>第二十四条</w:t>
            </w:r>
            <w:r>
              <w:rPr>
                <w:rFonts w:hint="eastAsia" w:ascii="Times New Roman" w:hAnsi="Times New Roman" w:eastAsiaTheme="minorEastAsia"/>
                <w:szCs w:val="21"/>
              </w:rPr>
              <w:t>：“</w:t>
            </w:r>
            <w:r>
              <w:rPr>
                <w:rFonts w:ascii="Times New Roman" w:hAnsi="Times New Roman" w:eastAsiaTheme="minorEastAsia"/>
                <w:szCs w:val="21"/>
              </w:rPr>
              <w:t>任何单位或者个人，未取得《医疗机构执业许可证》，不得开展诊疗活动。</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四川省医疗机构管理条例》（2001年3月30日四川省第九届人民代表大会常务委员会公布）第十条：“设置医疗机构，应按审批权限，向有管辖权的卫生行政部门申请审批。地方各级人民政府按照规划设置医疗机构，由政府指定的筹建负责人申请；法人或者其他组织设置医疗机构，由其代表人申请；个人、合伙设置医疗机构，由设置人申请。”第十六条：“县级以上地方人民政府卫生行政部门应当自受理设置申请之日起30日内，作出批准或者不批准的书面答复。批准设置的，发给设置医疗机构批准书。批准书的有效期限一般不超过两年。”</w:t>
            </w:r>
          </w:p>
          <w:p>
            <w:pPr>
              <w:spacing w:line="360" w:lineRule="exact"/>
              <w:ind w:firstLine="420" w:firstLineChars="200"/>
              <w:jc w:val="left"/>
              <w:rPr>
                <w:rFonts w:ascii="Times New Roman" w:hAnsi="Times New Roman" w:cs="宋体" w:eastAsiaTheme="minorEastAsia"/>
                <w:kern w:val="0"/>
                <w:szCs w:val="21"/>
                <w:lang w:bidi="ar"/>
              </w:rPr>
            </w:pPr>
            <w:r>
              <w:rPr>
                <w:rFonts w:hint="eastAsia" w:ascii="Times New Roman" w:hAnsi="Times New Roman" w:eastAsiaTheme="minorEastAsia"/>
                <w:szCs w:val="21"/>
              </w:rPr>
              <w:t>3.《城市社区卫生服务机构管理办法（试行）》（卫妇社发[2006]239号，2006年6月29日）第九条：“</w:t>
            </w:r>
            <w:r>
              <w:rPr>
                <w:rFonts w:hint="eastAsia" w:ascii="Times New Roman" w:hAnsi="Times New Roman" w:cs="宋体" w:eastAsiaTheme="minorEastAsia"/>
                <w:kern w:val="0"/>
                <w:szCs w:val="21"/>
                <w:lang w:bidi="ar"/>
              </w:rPr>
              <w:t>社区卫生服务中心原则上按街道办事处范围设置，以政府举办为主。在人口较多、服务半径较大、社区卫生服务中心难以覆盖的社区，可适当设置社区卫生服务站或增设社区卫生服务中心。人口规模大于10万人的街道办事处，应增设社区卫生服务中心。人口规模小于3万人的街道办事处，其社区卫生服务机构的设置由区（市、县）政府卫生行政部门确定。”</w:t>
            </w:r>
            <w:r>
              <w:rPr>
                <w:rFonts w:hint="eastAsia" w:ascii="Times New Roman" w:hAnsi="Times New Roman" w:eastAsiaTheme="minorEastAsia"/>
                <w:szCs w:val="21"/>
              </w:rPr>
              <w:t>第十条：“</w:t>
            </w:r>
            <w:r>
              <w:rPr>
                <w:rFonts w:hint="eastAsia" w:ascii="Times New Roman" w:hAnsi="Times New Roman" w:cs="宋体" w:eastAsiaTheme="minorEastAsia"/>
                <w:kern w:val="0"/>
                <w:szCs w:val="21"/>
                <w:lang w:bidi="ar"/>
              </w:rPr>
              <w:t>设区的市政府卫生行政部门负责制订本行政区域社区卫生服务机构设置规划，并纳入当地区域卫生规划、医疗机构设置规划。社区卫生服务机构设置规划须经同级政府批准，报当地省级政府卫生行政部门备案。”</w:t>
            </w:r>
            <w:r>
              <w:rPr>
                <w:rFonts w:hint="eastAsia" w:ascii="Times New Roman" w:hAnsi="Times New Roman" w:eastAsiaTheme="minorEastAsia"/>
                <w:szCs w:val="21"/>
              </w:rPr>
              <w:t>第十四条：“</w:t>
            </w:r>
            <w:r>
              <w:rPr>
                <w:rFonts w:hint="eastAsia" w:ascii="Times New Roman" w:hAnsi="Times New Roman" w:cs="宋体" w:eastAsiaTheme="minorEastAsia"/>
                <w:kern w:val="0"/>
                <w:szCs w:val="21"/>
                <w:lang w:bidi="ar"/>
              </w:rPr>
              <w:t>设置社区卫生服务机构，须按照社区卫生服务机构设置规划，由区（市、县）级政府卫生行政部门根据《医疗机构管理条例》、《医疗机构管理条例实施细则》、《社区卫生服务中心基本标准》、《社区卫生服务站基本标准》进行设置审批和执业登记，同时报上一级政府卫生行政部门备案。《社区卫生服务中心基本标准》、《社区卫生服务站基本标准》由卫生部另行制定。”</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cs="宋体" w:eastAsiaTheme="minorEastAsia"/>
                <w:kern w:val="0"/>
                <w:szCs w:val="21"/>
                <w:lang w:bidi="ar"/>
              </w:rPr>
              <w:t>4.《四川省城市社区卫生服务机构管理办法实施细则（试行）》（川卫办发[2007]1号,2007年1月9日） 第九条：“区（市、县）卫生行政部门按照市（州）社区卫生服务机构设置规划要求，根据相关法律法规和本实施细则，对符合规划布点条件的申请机构进行设置审批，对批准设置的，在30个工作日内发给《设置医疗机构批准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社区卫生服务机构设置许可</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社区卫生服务机构设置许可</w:t>
            </w:r>
            <w:r>
              <w:rPr>
                <w:rFonts w:ascii="Times New Roman" w:hAnsi="Times New Roman" w:eastAsiaTheme="minorEastAsia"/>
                <w:szCs w:val="21"/>
              </w:rPr>
              <w:t>书面申请材料</w:t>
            </w:r>
            <w:r>
              <w:rPr>
                <w:rFonts w:hint="eastAsia" w:ascii="Times New Roman" w:hAnsi="Times New Roman" w:eastAsiaTheme="minorEastAsia"/>
                <w:szCs w:val="21"/>
              </w:rPr>
              <w:t>和现场设置</w:t>
            </w:r>
            <w:r>
              <w:rPr>
                <w:rFonts w:ascii="Times New Roman" w:hAnsi="Times New Roman" w:eastAsiaTheme="minorEastAsia"/>
                <w:szCs w:val="21"/>
              </w:rPr>
              <w:t>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对申请社区卫生服务机构设置许可的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w:t>
            </w:r>
            <w:r>
              <w:rPr>
                <w:rFonts w:ascii="Times New Roman" w:hAnsi="Times New Roman" w:eastAsiaTheme="minorEastAsia"/>
                <w:szCs w:val="21"/>
              </w:rPr>
              <w:t>．《中华人民共和国行政许可法》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numPr>
                <w:ilvl w:val="0"/>
                <w:numId w:val="4"/>
              </w:numPr>
              <w:spacing w:line="360" w:lineRule="exact"/>
              <w:ind w:firstLine="420" w:firstLineChars="200"/>
              <w:jc w:val="left"/>
              <w:rPr>
                <w:rFonts w:ascii="Times New Roman" w:hAnsi="Times New Roman" w:cs="宋体" w:eastAsiaTheme="minorEastAsia"/>
                <w:kern w:val="0"/>
                <w:szCs w:val="21"/>
                <w:lang w:bidi="ar"/>
              </w:rPr>
            </w:pPr>
            <w:r>
              <w:rPr>
                <w:rFonts w:hint="eastAsia" w:ascii="Times New Roman" w:hAnsi="Times New Roman" w:cs="宋体" w:eastAsiaTheme="minorEastAsia"/>
                <w:kern w:val="0"/>
                <w:szCs w:val="21"/>
                <w:lang w:bidi="ar"/>
              </w:rPr>
              <w:t>《四川省城市社区卫生服务机构管理办法实施细则（试行）》（川卫办发[2007]1号,2007年1月9日） 第九条：“区（市、县）卫生行政部门按照市（州）社区卫生服务机构设置规划要求，根据相关法律法规和本实施细则，对符合规划布点条件的申请机构进行设置审批，对批准设置的，在30个工作日内发给《设置医疗机构批准书》。”</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widowControl/>
        <w:spacing w:line="360" w:lineRule="exact"/>
        <w:jc w:val="lef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表2-88</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医疗广告审批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6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四川省医疗机构管理条例（2001年修订）》（2001年3月30日四川省第九届人民代表大会常务委员会第二十二次会议通过）第四十二条：“医疗机构刊登、播发、张贴医疗广告，必须持有县级以上地方人民政府卫生行政部门的《医疗广告证明》方可进行广告宣传。广告内容，限于医疗机构名称、诊疗地点、从业医师、技术职称、诊疗时间、科目以及诊疗方式、通信方式。严禁出现淫秽、迷信、贬低他人以及其他违反有关法律法规的内容。”</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2.《医疗广告管理办法》（国家工商行政管理总局、卫生部令第26号，2006年11月10日）第三条：“医疗机构发布医疗广告，应当在发布前申请医疗广告审查。未取得《医疗广告审查证明》不得发布医疗广告。”</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3.《中华人民共和国中医药条例》（国务院令第374号，2003年4月7日）第十三条：“</w:t>
            </w:r>
            <w:r>
              <w:rPr>
                <w:rFonts w:ascii="Times New Roman" w:hAnsi="Times New Roman" w:eastAsiaTheme="minorEastAsia"/>
                <w:szCs w:val="21"/>
              </w:rPr>
              <w:t>发布中医医疗广告，医疗机构应当按照规定向所在地省、自治区、直辖市人民政府负责中医药管理的部门申请并报送有关材料。省、自治区、直辖市人民政府负责中医药管理的部门应当自收到有关材料之日起10个工作日内进行审查，并作出是否核发中医医疗广告批准文号的决定。对符合规定要求的，发给中医医疗广告批准文号。未取得中医医疗广告批准文号的，不得发布中医医疗广告。发布的中医医疗广告，其内容应当与审查批准发布的内容一致。</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4.《四川省人民政府关于取消和下放第三批行政审批项目的决定》(川府发[2013]63号，2013年12月27日)附件2：下放管理层级的行政审批项目目录第11项“医疗广告审批。”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医疗广告审批</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医疗广告审批</w:t>
            </w:r>
            <w:r>
              <w:rPr>
                <w:rFonts w:ascii="Times New Roman" w:hAnsi="Times New Roman" w:eastAsiaTheme="minorEastAsia"/>
                <w:szCs w:val="21"/>
              </w:rPr>
              <w:t>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对申请医疗广告审批的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w:t>
            </w:r>
            <w:r>
              <w:rPr>
                <w:rFonts w:ascii="Times New Roman" w:hAnsi="Times New Roman" w:eastAsiaTheme="minorEastAsia"/>
                <w:szCs w:val="21"/>
              </w:rPr>
              <w:t>．《中华人民共和国行政许可法》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numPr>
                <w:ilvl w:val="0"/>
                <w:numId w:val="5"/>
              </w:num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《医疗广告管理办法》（国家工商行政管理总局、卫生部令第26号，2006年11月10日）第九条：“</w:t>
            </w:r>
            <w:r>
              <w:rPr>
                <w:rFonts w:ascii="Times New Roman" w:hAnsi="Times New Roman" w:eastAsiaTheme="minorEastAsia"/>
                <w:szCs w:val="21"/>
              </w:rPr>
              <w:t>省级卫生行政部门、中医药管理部门应当自受理之日起20日内对医疗广告成品样件内容进行审查。卫生行政部门、中医药管理部门需要请有关专家进行审查的，可延长10日。对审查合格的医疗广告，省级卫生行政部门、中医药管理部门发给《医疗广告审查证明》，并将通过审查的医疗广告样件和核发的《医疗广告审查证明》予以公示；对审查不合格的医疗广告，应当书面通知医疗机构并告知理由。</w:t>
            </w:r>
            <w:r>
              <w:rPr>
                <w:rFonts w:hint="eastAsia" w:ascii="Times New Roman" w:hAnsi="Times New Roman" w:eastAsiaTheme="minorEastAsia"/>
                <w:szCs w:val="21"/>
              </w:rPr>
              <w:t>”</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widowControl/>
        <w:spacing w:line="360" w:lineRule="exact"/>
        <w:ind w:firstLine="420" w:firstLineChars="200"/>
        <w:jc w:val="lef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表2-89</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序号</w:t>
            </w:r>
          </w:p>
        </w:tc>
        <w:tc>
          <w:tcPr>
            <w:tcW w:w="7582"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权力类型</w:t>
            </w:r>
          </w:p>
        </w:tc>
        <w:tc>
          <w:tcPr>
            <w:tcW w:w="7582"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权力项目名称</w:t>
            </w:r>
          </w:p>
        </w:tc>
        <w:tc>
          <w:tcPr>
            <w:tcW w:w="7582"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消毒产品生产企业卫生许可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实施依据</w:t>
            </w:r>
          </w:p>
        </w:tc>
        <w:tc>
          <w:tcPr>
            <w:tcW w:w="7582" w:type="dxa"/>
            <w:tcBorders>
              <w:top w:val="single" w:color="auto" w:sz="4" w:space="0"/>
              <w:left w:val="single" w:color="auto" w:sz="4" w:space="0"/>
              <w:bottom w:val="single" w:color="auto" w:sz="4" w:space="0"/>
              <w:right w:val="single" w:color="auto" w:sz="4" w:space="0"/>
            </w:tcBorders>
            <w:vAlign w:val="center"/>
          </w:tcPr>
          <w:p>
            <w:pPr>
              <w:pStyle w:val="10"/>
              <w:shd w:val="clear" w:color="auto" w:fill="FFFFFF"/>
              <w:spacing w:before="0" w:beforeAutospacing="0" w:after="225" w:afterAutospacing="0" w:line="360" w:lineRule="exact"/>
              <w:ind w:firstLine="420" w:firstLineChars="200"/>
              <w:jc w:val="both"/>
              <w:rPr>
                <w:rFonts w:ascii="Times New Roman" w:hAnsi="Times New Roman" w:cs="Arial" w:eastAsiaTheme="minorEastAsia"/>
                <w:sz w:val="21"/>
                <w:szCs w:val="21"/>
              </w:rPr>
            </w:pPr>
            <w:r>
              <w:rPr>
                <w:rFonts w:hint="eastAsia" w:ascii="Times New Roman" w:hAnsi="Times New Roman" w:eastAsiaTheme="minorEastAsia"/>
                <w:sz w:val="21"/>
                <w:szCs w:val="21"/>
              </w:rPr>
              <w:t xml:space="preserve">    1.《中华人民共和国传染病防治法》（</w:t>
            </w:r>
            <w:r>
              <w:rPr>
                <w:rFonts w:ascii="Times New Roman" w:hAnsi="Times New Roman" w:cs="Arial" w:eastAsiaTheme="minorEastAsia"/>
                <w:sz w:val="21"/>
                <w:szCs w:val="21"/>
                <w:shd w:val="clear" w:color="auto" w:fill="FFFFFF"/>
              </w:rPr>
              <w:t>由</w:t>
            </w:r>
            <w:r>
              <w:rPr>
                <w:rFonts w:ascii="Times New Roman" w:hAnsi="Times New Roman" w:cs="Arial" w:eastAsiaTheme="minorEastAsia"/>
                <w:sz w:val="21"/>
                <w:szCs w:val="21"/>
              </w:rPr>
              <w:t>第七届全国人民代表大会常务委员会第六次会议于1989年2月21日通过，自1989年9月1日起施行，2004年8月28日第十届全国人民代表大会常务委员会第十一次会议修订，2013年6月29日第十二届全国人民代表大会常务委员会第三次会议修正。2020年10月2日，国家卫健委发布《传染病防治法》修订征求意见稿</w:t>
            </w:r>
            <w:r>
              <w:rPr>
                <w:rFonts w:hint="eastAsia" w:ascii="Times New Roman" w:hAnsi="Times New Roman" w:eastAsiaTheme="minorEastAsia"/>
                <w:sz w:val="21"/>
                <w:szCs w:val="21"/>
              </w:rPr>
              <w:t>）第二十九条：</w:t>
            </w:r>
            <w:r>
              <w:rPr>
                <w:rFonts w:hint="eastAsia" w:ascii="Times New Roman" w:hAnsi="Times New Roman" w:cs="Arial" w:eastAsiaTheme="minorEastAsia"/>
                <w:sz w:val="21"/>
                <w:szCs w:val="21"/>
              </w:rPr>
              <w:t xml:space="preserve"> “</w:t>
            </w:r>
            <w:r>
              <w:rPr>
                <w:rFonts w:ascii="Times New Roman" w:hAnsi="Times New Roman" w:cs="Arial" w:eastAsiaTheme="minorEastAsia"/>
                <w:sz w:val="21"/>
                <w:szCs w:val="21"/>
              </w:rPr>
              <w:t>用于传染病防治的消毒产品、饮用水供水单位供应的饮用水和涉及饮用水卫生安全的产品，应当符合国家卫生标准和卫生规范。饮用水供水单位从事生产或者供应活动，应当依法取得卫生许可证。生产用于传染病防治的消毒产品的单位和生产用于传染病防治的消毒产品，应当经省级以上人民政府卫生行政部门审批。具体办法由国务院制定。</w:t>
            </w:r>
            <w:r>
              <w:rPr>
                <w:rFonts w:hint="eastAsia" w:ascii="Times New Roman" w:hAnsi="Times New Roman" w:cs="Arial" w:eastAsiaTheme="minorEastAsia"/>
                <w:sz w:val="21"/>
                <w:szCs w:val="21"/>
              </w:rPr>
              <w:t>”</w:t>
            </w:r>
          </w:p>
          <w:p>
            <w:pPr>
              <w:pStyle w:val="10"/>
              <w:shd w:val="clear" w:color="auto" w:fill="FFFFFF"/>
              <w:spacing w:before="0" w:beforeAutospacing="0" w:after="225" w:afterAutospacing="0" w:line="360" w:lineRule="exact"/>
              <w:ind w:firstLine="420" w:firstLineChars="200"/>
              <w:jc w:val="both"/>
              <w:rPr>
                <w:rFonts w:ascii="Times New Roman" w:hAnsi="Times New Roman" w:cs="Arial" w:eastAsiaTheme="minorEastAsia"/>
                <w:sz w:val="21"/>
                <w:szCs w:val="21"/>
              </w:rPr>
            </w:pPr>
            <w:r>
              <w:rPr>
                <w:rFonts w:hint="eastAsia" w:ascii="Times New Roman" w:hAnsi="Times New Roman" w:eastAsiaTheme="minorEastAsia"/>
                <w:sz w:val="21"/>
                <w:szCs w:val="21"/>
              </w:rPr>
              <w:t>2.《四川省消毒管理条例》（</w:t>
            </w:r>
            <w:r>
              <w:rPr>
                <w:rFonts w:ascii="Times New Roman" w:hAnsi="Times New Roman" w:cs="Arial" w:eastAsiaTheme="minorEastAsia"/>
                <w:sz w:val="21"/>
                <w:szCs w:val="21"/>
                <w:shd w:val="clear" w:color="auto" w:fill="FFFFFF"/>
              </w:rPr>
              <w:t>经2001年11月23日四川省九届人大常委会第26次会议通过;根据2015年4月1日四川省十二届人大常委会第15次会议《关于修改〈四川省消毒管理条例〉的决定》第3次修正</w:t>
            </w:r>
            <w:r>
              <w:rPr>
                <w:rFonts w:hint="eastAsia" w:ascii="Times New Roman" w:hAnsi="Times New Roman" w:eastAsiaTheme="minorEastAsia"/>
                <w:sz w:val="21"/>
                <w:szCs w:val="21"/>
              </w:rPr>
              <w:t>）第九条：“</w:t>
            </w:r>
            <w:r>
              <w:rPr>
                <w:rFonts w:ascii="Times New Roman" w:hAnsi="Times New Roman" w:cs="Arial" w:eastAsiaTheme="minorEastAsia"/>
                <w:sz w:val="21"/>
                <w:szCs w:val="21"/>
              </w:rPr>
              <w:t>设立消毒产品生产企业应当向市(州)卫生行政部门提出申请。市(州)卫生行政部门自收到申请之日起三十日内，对符合条件的，应发给《消毒产品生产企业卫生许可证》;对不符合条件的，应当给予书面答复并说明理由。取得《消毒产品生产企业卫生许可证》的生产企业变更企业名称、法定代表人的，应当进行变更登记。变更生产类别、迁移厂址、另设生产与消毒产品有关分厂(车间)的，应当重新申请办证。</w:t>
            </w:r>
            <w:r>
              <w:rPr>
                <w:rFonts w:hint="eastAsia" w:ascii="Times New Roman" w:hAnsi="Times New Roman" w:eastAsiaTheme="minorEastAsia"/>
                <w:sz w:val="21"/>
                <w:szCs w:val="21"/>
              </w:rPr>
              <w:t>”</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3.《消毒管理办法》（</w:t>
            </w:r>
            <w:r>
              <w:rPr>
                <w:rFonts w:ascii="Times New Roman" w:hAnsi="Times New Roman" w:cs="Arial" w:eastAsiaTheme="minorEastAsia"/>
                <w:szCs w:val="21"/>
                <w:shd w:val="clear" w:color="auto" w:fill="FFFFFF"/>
              </w:rPr>
              <w:t>国家卫生和计划生育委员会令第18号</w:t>
            </w:r>
            <w:r>
              <w:rPr>
                <w:rFonts w:hint="eastAsia" w:ascii="Times New Roman" w:hAnsi="Times New Roman" w:eastAsiaTheme="minorEastAsia"/>
                <w:szCs w:val="21"/>
              </w:rPr>
              <w:t>，</w:t>
            </w:r>
            <w:r>
              <w:rPr>
                <w:rFonts w:ascii="Times New Roman" w:hAnsi="Times New Roman" w:cs="Arial" w:eastAsiaTheme="minorEastAsia"/>
                <w:szCs w:val="21"/>
                <w:shd w:val="clear" w:color="auto" w:fill="FFFFFF"/>
              </w:rPr>
              <w:t>《国家卫生计生委关于修改〈新食品原料安全性审查管理办法〉等7件部门规章的决定》已于2017年12月5日经国家卫生计生委委主任会议讨论通过，现予公布，自公布之日起施行。</w:t>
            </w:r>
            <w:r>
              <w:rPr>
                <w:rFonts w:hint="eastAsia" w:ascii="Times New Roman" w:hAnsi="Times New Roman" w:eastAsiaTheme="minorEastAsia"/>
                <w:szCs w:val="21"/>
              </w:rPr>
              <w:t>）第二十条：“</w:t>
            </w:r>
            <w:r>
              <w:rPr>
                <w:rFonts w:ascii="Times New Roman" w:hAnsi="Times New Roman" w:cs="Arial" w:eastAsiaTheme="minorEastAsia"/>
                <w:szCs w:val="21"/>
                <w:shd w:val="clear" w:color="auto" w:fill="FFFFFF"/>
              </w:rPr>
              <w:t>消毒剂、消毒器械和卫生用品生产企业取得工商行政管理部门颁发的营业执照后，还应当取得所在地省级卫生计生行政部门发放的卫生许可证，方可从事消毒产品的生产。</w:t>
            </w:r>
            <w:r>
              <w:rPr>
                <w:rFonts w:hint="eastAsia" w:ascii="Times New Roman" w:hAnsi="Times New Roman" w:eastAsiaTheme="minorEastAsia"/>
                <w:szCs w:val="21"/>
              </w:rPr>
              <w:t>”第二十一条：“</w:t>
            </w:r>
            <w:r>
              <w:rPr>
                <w:rFonts w:ascii="Times New Roman" w:hAnsi="Times New Roman" w:cs="Arial" w:eastAsiaTheme="minorEastAsia"/>
                <w:szCs w:val="21"/>
                <w:shd w:val="clear" w:color="auto" w:fill="FFFFFF"/>
              </w:rPr>
              <w:t>省级卫生计生行政部门应当自受理消毒产品生产企业的申请之日起二十日内作出是否批准的决定。对符合《消毒产品生产企业卫生规范》要求的，发给卫生许可证;对不符合的，不予批准，并说明理由。</w:t>
            </w:r>
            <w:r>
              <w:rPr>
                <w:rFonts w:hint="eastAsia" w:ascii="Times New Roman" w:hAnsi="Times New Roman" w:eastAsiaTheme="minorEastAsia"/>
                <w:szCs w:val="21"/>
              </w:rPr>
              <w:t>”</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4.卫生部《消毒产品生产企业卫生许可规定》（卫监督发〔2009〕110号）第二条：“</w:t>
            </w:r>
            <w:r>
              <w:rPr>
                <w:rFonts w:ascii="Times New Roman" w:hAnsi="Times New Roman" w:eastAsiaTheme="minorEastAsia"/>
                <w:szCs w:val="21"/>
              </w:rPr>
              <w:t> </w:t>
            </w:r>
            <w:r>
              <w:rPr>
                <w:rFonts w:hint="eastAsia" w:ascii="Times New Roman" w:hAnsi="Times New Roman" w:eastAsiaTheme="minorEastAsia"/>
                <w:szCs w:val="21"/>
              </w:rPr>
              <w:t>在国内从事消毒产品生产、分装的单位和个人，必须按照本规定要求申领《消毒产品生产企业卫生许可证》（以下简称卫生许可证）。消毒产品生产企业一个生产场所一证，一个集团或公司拥有多个生产场所的，应分别申请卫生许可证。”</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5.《四川省人民政府关于取消、下放第三批行政审批项目的决定》（川府发【2013】63号，2013年12月27日）附件2：下放管理层级的行政审批项目目录第8项“消毒产品生产企业卫生许可。”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责任主体</w:t>
            </w:r>
          </w:p>
        </w:tc>
        <w:tc>
          <w:tcPr>
            <w:tcW w:w="7582"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责任事项</w:t>
            </w:r>
          </w:p>
        </w:tc>
        <w:tc>
          <w:tcPr>
            <w:tcW w:w="7582"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消毒产品生产企业卫生许可</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消毒产品生产企业卫生许可</w:t>
            </w:r>
            <w:r>
              <w:rPr>
                <w:rFonts w:ascii="Times New Roman" w:hAnsi="Times New Roman" w:eastAsiaTheme="minorEastAsia"/>
                <w:szCs w:val="21"/>
              </w:rPr>
              <w:t>书面申请材料</w:t>
            </w:r>
            <w:r>
              <w:rPr>
                <w:rFonts w:hint="eastAsia" w:ascii="Times New Roman" w:hAnsi="Times New Roman" w:eastAsiaTheme="minorEastAsia"/>
                <w:szCs w:val="21"/>
              </w:rPr>
              <w:t>和现场设施布局</w:t>
            </w:r>
            <w:r>
              <w:rPr>
                <w:rFonts w:ascii="Times New Roman" w:hAnsi="Times New Roman" w:eastAsiaTheme="minorEastAsia"/>
                <w:szCs w:val="21"/>
              </w:rPr>
              <w:t>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对申请消毒产品生产企业卫生许可的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责任事项依据</w:t>
            </w:r>
          </w:p>
        </w:tc>
        <w:tc>
          <w:tcPr>
            <w:tcW w:w="7582"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eastAsiaTheme="minorEastAsia"/>
                <w:szCs w:val="21"/>
              </w:rPr>
            </w:pPr>
            <w:r>
              <w:rPr>
                <w:rFonts w:ascii="Times New Roman" w:hAnsi="Times New Roman" w:eastAsiaTheme="minorEastAsia"/>
                <w:szCs w:val="21"/>
              </w:rPr>
              <w:t>1．《中华人民共和国行政许可法》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2-3.卫生部《消毒产品生产企业卫生许可规定》（卫监督发〔2009〕110号）第八条：“受理申请后，省级卫生行政部门应当对申请材料进行审查，及时指派2名以上卫生监督员或委托下一级卫生行政部门按照本规定和《消毒产品生产企业卫生规范》的要求，对生产场所进行现场核实，卫生监督员填写生产企业现场监督审核表并出具现场审核意见。”</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3-1.《四川省消毒管理条例》（</w:t>
            </w:r>
            <w:r>
              <w:rPr>
                <w:rFonts w:ascii="Times New Roman" w:hAnsi="Times New Roman" w:cs="Arial" w:eastAsiaTheme="minorEastAsia"/>
                <w:szCs w:val="21"/>
                <w:shd w:val="clear" w:color="auto" w:fill="FFFFFF"/>
              </w:rPr>
              <w:t>经2001年11月23日四川省九届人大常委会第26次会议通过;根据2015年4月1日四川省十二届人大常委会第15次会议《关于修改〈四川省消毒管理条例〉的决定》第3次修正</w:t>
            </w:r>
            <w:r>
              <w:rPr>
                <w:rFonts w:hint="eastAsia" w:ascii="Times New Roman" w:hAnsi="Times New Roman" w:eastAsiaTheme="minorEastAsia"/>
                <w:szCs w:val="21"/>
              </w:rPr>
              <w:t>）第九条：“</w:t>
            </w:r>
            <w:r>
              <w:rPr>
                <w:rFonts w:ascii="Times New Roman" w:hAnsi="Times New Roman" w:cs="Arial" w:eastAsiaTheme="minorEastAsia"/>
                <w:szCs w:val="21"/>
              </w:rPr>
              <w:t>设立消毒产品生产企业应当向市(州)卫生行政部门提出申请。市(州)卫生行政部门自收到申请之日起三十日内，对符合条件的，应发给《消毒产品生产企业卫生许可证》;对不符合条件的，应当给予书面答复并说明理由。取得《消毒产品生产企业卫生许可证》的生产企业变更企业名称、法定代表人的，应当进行变更登记。变更生产类别、迁移厂址、另设生产与消毒产品有关分厂(车间)的，应当重新申请办证。</w:t>
            </w:r>
            <w:r>
              <w:rPr>
                <w:rFonts w:hint="eastAsia" w:ascii="Times New Roman" w:hAnsi="Times New Roman" w:eastAsiaTheme="minorEastAsia"/>
                <w:szCs w:val="21"/>
              </w:rPr>
              <w:t>”</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3-2. 《消毒管理办法》（</w:t>
            </w:r>
            <w:r>
              <w:rPr>
                <w:rFonts w:ascii="Times New Roman" w:hAnsi="Times New Roman" w:cs="Arial" w:eastAsiaTheme="minorEastAsia"/>
                <w:szCs w:val="21"/>
                <w:shd w:val="clear" w:color="auto" w:fill="FFFFFF"/>
              </w:rPr>
              <w:t>国家卫生和计划生育委员会令第18号</w:t>
            </w:r>
            <w:r>
              <w:rPr>
                <w:rFonts w:hint="eastAsia" w:ascii="Times New Roman" w:hAnsi="Times New Roman" w:eastAsiaTheme="minorEastAsia"/>
                <w:szCs w:val="21"/>
              </w:rPr>
              <w:t>，</w:t>
            </w:r>
            <w:r>
              <w:rPr>
                <w:rFonts w:ascii="Times New Roman" w:hAnsi="Times New Roman" w:cs="Arial" w:eastAsiaTheme="minorEastAsia"/>
                <w:szCs w:val="21"/>
                <w:shd w:val="clear" w:color="auto" w:fill="FFFFFF"/>
              </w:rPr>
              <w:t>《国家卫生计生委关于修改〈新食品原料安全性审查管理办法〉等7件部门规章的决定》已于2017年12月5日经国家卫生计生委委主任会议讨论通过，现予公布，自公布之日起施行。</w:t>
            </w:r>
            <w:r>
              <w:rPr>
                <w:rFonts w:hint="eastAsia" w:ascii="Times New Roman" w:hAnsi="Times New Roman" w:eastAsiaTheme="minorEastAsia"/>
                <w:szCs w:val="21"/>
              </w:rPr>
              <w:t>）第二十一条：“</w:t>
            </w:r>
            <w:r>
              <w:rPr>
                <w:rFonts w:ascii="Times New Roman" w:hAnsi="Times New Roman" w:cs="Arial" w:eastAsiaTheme="minorEastAsia"/>
                <w:szCs w:val="21"/>
                <w:shd w:val="clear" w:color="auto" w:fill="FFFFFF"/>
              </w:rPr>
              <w:t>省级卫生计生行政部门应当自受理消毒产品生产企业的申请之日起二十日内作出是否批准的决定。对符合《消毒产品生产企业卫生规范》要求的，发给卫生许可证;对不符合的，不予批准，并说明理由。</w:t>
            </w:r>
            <w:r>
              <w:rPr>
                <w:rFonts w:hint="eastAsia" w:ascii="Times New Roman" w:hAnsi="Times New Roman" w:eastAsiaTheme="minorEastAsia"/>
                <w:szCs w:val="21"/>
              </w:rPr>
              <w:t>”</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追责情形</w:t>
            </w:r>
          </w:p>
        </w:tc>
        <w:tc>
          <w:tcPr>
            <w:tcW w:w="7582"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w:t>
            </w:r>
            <w:r>
              <w:rPr>
                <w:rFonts w:hint="eastAsia" w:ascii="Times New Roman" w:hAnsi="Times New Roman" w:eastAsiaTheme="minorEastAsia"/>
                <w:szCs w:val="21"/>
              </w:rPr>
              <w:t>《四川省消毒管理条例》</w:t>
            </w:r>
            <w:r>
              <w:rPr>
                <w:rFonts w:ascii="Times New Roman" w:hAnsi="Times New Roman" w:eastAsiaTheme="minorEastAsia"/>
                <w:szCs w:val="21"/>
              </w:rPr>
              <w:t>、《行政机关公务员处分条例》、《四川省行政审批违法违纪行为责任追究办法》、《四川省行政机关工作人员行政过错责任追究试行办法》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ascii="Times New Roman" w:hAnsi="Times New Roman"/>
              </w:rPr>
              <w:t>监督电话</w:t>
            </w:r>
          </w:p>
        </w:tc>
        <w:tc>
          <w:tcPr>
            <w:tcW w:w="7582"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widowControl/>
        <w:spacing w:line="360" w:lineRule="exact"/>
        <w:ind w:firstLine="420" w:firstLineChars="200"/>
        <w:jc w:val="lef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表2-90</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涉及饮用水产品卫生许可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rPr>
                <w:rFonts w:ascii="Times New Roman" w:hAnsi="Times New Roman" w:eastAsiaTheme="minorEastAsia"/>
                <w:szCs w:val="21"/>
              </w:rPr>
            </w:pPr>
            <w:r>
              <w:rPr>
                <w:rFonts w:hint="eastAsia" w:ascii="Times New Roman" w:hAnsi="Times New Roman" w:eastAsiaTheme="minorEastAsia"/>
                <w:szCs w:val="21"/>
              </w:rPr>
              <w:t>1、《国务院对确需保留的行政审批项目设定行政许可的决定》（2004年国务院令第412号发布）附件：国务院决定对确需保留的行政审批项目设定行政许可的目录第205项“涉及饮用水卫生安全的产品卫生许可。”</w:t>
            </w:r>
          </w:p>
          <w:p>
            <w:pPr>
              <w:pStyle w:val="10"/>
              <w:shd w:val="clear" w:color="auto" w:fill="FFFFFF"/>
              <w:spacing w:before="225" w:beforeAutospacing="0" w:after="0" w:afterAutospacing="0" w:line="360" w:lineRule="exact"/>
              <w:ind w:firstLine="420" w:firstLineChars="200"/>
              <w:jc w:val="both"/>
              <w:rPr>
                <w:rFonts w:ascii="Times New Roman" w:hAnsi="Times New Roman" w:cs="Times New Roman" w:eastAsiaTheme="minorEastAsia"/>
                <w:kern w:val="2"/>
                <w:sz w:val="21"/>
                <w:szCs w:val="21"/>
              </w:rPr>
            </w:pPr>
            <w:r>
              <w:rPr>
                <w:rFonts w:hint="eastAsia" w:ascii="Times New Roman" w:hAnsi="Times New Roman" w:cs="Times New Roman" w:eastAsiaTheme="minorEastAsia"/>
                <w:kern w:val="2"/>
                <w:sz w:val="21"/>
                <w:szCs w:val="21"/>
              </w:rPr>
              <w:t>2、《卫生部关于印发&lt;省级涉及饮用水卫生安全产品卫生行政许可程序&gt;的通知》（卫监督发〔2009〕75号，2010年1月1日起施行）第十一条　申请单位应当直接向省级卫生行政部门提出涉水产品卫生行政许可申请，提交下列材料，并对申报材料的真实性负责，承担相应的法律责任。（一）许可申请表。（二）省级卫生监督部门出具的生产能力现场审核意见。（三）产品检验报告（附检验申请表、检验受理通知书、产品说明书、产品样品采样记录）。（四）产品材料及配方。（五）饮水机及供水设备类的产品应提供与饮用水接触的主要材料的卫生许可批件复印件或由省级以上卫生行政部门认定的检验机构出具的检验报告原件。（六）生产工艺流程及简述。（七）生产设备清单。（八）产品标签（铭牌）、说明书（样稿）。</w:t>
            </w:r>
            <w:r>
              <w:rPr>
                <w:rFonts w:hint="eastAsia" w:ascii="Times New Roman" w:hAnsi="Times New Roman" w:cs="Times New Roman" w:eastAsiaTheme="minorEastAsia"/>
                <w:kern w:val="2"/>
                <w:sz w:val="21"/>
                <w:szCs w:val="21"/>
              </w:rPr>
              <w:br w:type="textWrapping"/>
            </w:r>
            <w:r>
              <w:rPr>
                <w:rFonts w:hint="eastAsia" w:ascii="Times New Roman" w:hAnsi="Times New Roman" w:cs="Times New Roman" w:eastAsiaTheme="minorEastAsia"/>
                <w:kern w:val="2"/>
                <w:sz w:val="21"/>
                <w:szCs w:val="21"/>
              </w:rPr>
              <w:t>（九）产品样品和彩色照片。（十）企业标准（标准中应有符合要求的卫生指标）。（十一）工商营业执照复印件和生产场所房屋所有权证明（或租赁证明）。（十二）委托生产的，应提供委托合同。被委托方应有与委托产品同类产品的卫生许可。（十三）省级卫生行政部门规定的其他资料。第十二条　申报材料中产品材料及配方应当按照以下内容填报（可根据具体情况增减）：（一）管材和管件、机械部件、止水材料、水处理壳体。1.材料成份（化学名及成份比例，以及主要原料质量等级）；2.类型及规格；3.适用范围（适用水压和供水类型）；4.使用年限。（二）蓄水容器（如水箱等）。1.材料成份（化学名及成份比例）；2.防护材料成份（化学名及成份比例）；3.使用方法；4.板块、胶条、支架的材质及组装要求；5.材料的使用年限。（三）饮水机、供水设备、吸附和过滤组件。1.功能；2.水流程图；3.各主要处理单元与所用材料的名称、规格、用量、使用年限；4.适用水质范围；</w:t>
            </w:r>
            <w:r>
              <w:rPr>
                <w:rFonts w:hint="eastAsia" w:ascii="Times New Roman" w:hAnsi="Times New Roman" w:cs="Times New Roman" w:eastAsiaTheme="minorEastAsia"/>
                <w:kern w:val="2"/>
                <w:sz w:val="21"/>
                <w:szCs w:val="21"/>
              </w:rPr>
              <w:br w:type="textWrapping"/>
            </w:r>
            <w:r>
              <w:rPr>
                <w:rFonts w:hint="eastAsia" w:ascii="Times New Roman" w:hAnsi="Times New Roman" w:cs="Times New Roman" w:eastAsiaTheme="minorEastAsia"/>
                <w:kern w:val="2"/>
                <w:sz w:val="21"/>
                <w:szCs w:val="21"/>
              </w:rPr>
              <w:t>5.技术参数。（四）水处理剂和散装水处理材料。1.功能；2.配方中</w:t>
            </w:r>
            <w:bookmarkStart w:id="3" w:name="_GoBack"/>
            <w:bookmarkEnd w:id="3"/>
            <w:r>
              <w:rPr>
                <w:rFonts w:hint="eastAsia" w:ascii="Times New Roman" w:hAnsi="Times New Roman" w:cs="Times New Roman" w:eastAsiaTheme="minorEastAsia"/>
                <w:kern w:val="2"/>
                <w:sz w:val="21"/>
                <w:szCs w:val="21"/>
                <w:lang w:eastAsia="zh-CN"/>
              </w:rPr>
              <w:t>主要成分</w:t>
            </w:r>
            <w:r>
              <w:rPr>
                <w:rFonts w:hint="eastAsia" w:ascii="Times New Roman" w:hAnsi="Times New Roman" w:cs="Times New Roman" w:eastAsiaTheme="minorEastAsia"/>
                <w:kern w:val="2"/>
                <w:sz w:val="21"/>
                <w:szCs w:val="21"/>
              </w:rPr>
              <w:t>（化学名及成份比例）；3.适用范围；4.有效期（消毒剂应提供稳定性试验报告）。第十三条　申报材料中产品标签或铭牌应有下列内容：（一）产品名称。（二）型号、规格。（三）生产企业名称、地址、邮编、联系电话；委托生产的，还应标明被委托生产企业名称、地址。（四）产品执行标准号（包括理化质量标准和卫生标准）。（五）产品卫生许可批准文号。（六）生产日期或生产批号。（七）根据产品特点，标明主要质量指标及主要技术参数。如饮水机铭牌上应标明制冷功率、制热功率；化学处理剂应标明</w:t>
            </w:r>
            <w:r>
              <w:rPr>
                <w:rFonts w:hint="eastAsia" w:ascii="Times New Roman" w:hAnsi="Times New Roman" w:cs="Times New Roman" w:eastAsiaTheme="minorEastAsia"/>
                <w:kern w:val="2"/>
                <w:sz w:val="21"/>
                <w:szCs w:val="21"/>
                <w:lang w:eastAsia="zh-CN"/>
              </w:rPr>
              <w:t>主要成分</w:t>
            </w:r>
            <w:r>
              <w:rPr>
                <w:rFonts w:hint="eastAsia" w:ascii="Times New Roman" w:hAnsi="Times New Roman" w:cs="Times New Roman" w:eastAsiaTheme="minorEastAsia"/>
                <w:kern w:val="2"/>
                <w:sz w:val="21"/>
                <w:szCs w:val="21"/>
              </w:rPr>
              <w:t>、净重、有效期；管材（件）、蓄水容器应标明规格；水处理部件应标明技术特性。受标签和铭牌面积限制，以上内容无法完全在标签和铭牌上标识的，可将有关内容在说明书中标明。第十四条　申报材料中产品说明书应标明执行标准、产品功能、型号、规格、</w:t>
            </w:r>
            <w:r>
              <w:rPr>
                <w:rFonts w:hint="eastAsia" w:ascii="Times New Roman" w:hAnsi="Times New Roman" w:cs="Times New Roman" w:eastAsiaTheme="minorEastAsia"/>
                <w:kern w:val="2"/>
                <w:sz w:val="21"/>
                <w:szCs w:val="21"/>
                <w:lang w:eastAsia="zh-CN"/>
              </w:rPr>
              <w:t>主要成分</w:t>
            </w:r>
            <w:r>
              <w:rPr>
                <w:rFonts w:hint="eastAsia" w:ascii="Times New Roman" w:hAnsi="Times New Roman" w:cs="Times New Roman" w:eastAsiaTheme="minorEastAsia"/>
                <w:kern w:val="2"/>
                <w:sz w:val="21"/>
                <w:szCs w:val="21"/>
              </w:rPr>
              <w:t>或部件、适用范围、使用方法、注意事项及技术参数、申报单位和实际生产企业联系方式与地址。技术参数具体包括：（一）供水设备、饮水机：设备功率，产品规格、供水量；（二）管材管件、机械部件、止水材料：产品规格等；（三）水处理剂：最大安全投加量及单体残留量；（四）水处理材料：净水效果。第十五条　申报材料中产品样品与产品彩色照片应符合下列要求：（一）提供的照片应与送检产品一致；（二）管材、管件应提供样品片段，并有相应商标、规格、生产日期、企业名称、执行标准等标识；（三）蓄水容器、供水设备、机械部件、止水材料、饮水机、水处理部件应提供整个产品的照片，并显示整机、铭牌、各主要单元；（四）化学处理剂和散装的水处理材料应提供用250ml透明玻璃瓶盛装（有避光等特殊要求的除外）的样品，玻璃瓶上有产品名称、生产单位、生产日期的标签。第十六条　省级卫生行政部门涉水产品许可受理机构应当在接收涉水产品行政许可申请材料时，向申请单位出具“行政许可申请材料接收凭证”；对申请事项是否需要许可、申请资料是否符合法定形式、申请材料是否齐全、产品检验结果是否符合相应国家标准或规范等进行核对，并根据下列情况分别做出处理：（一）申请事项依法不需要取得卫生行政许可的，应当即时告知申报单位不受理。（二）申请事项依法不属于卫生行政部门职权范围的，应当即时做出不予受理的决定，并告知申请单位向有关行政机关申请。（三）超过规定期限提出延续申请的，应当即时做出不予受理的决定。（四）申请材料存在可以当场更正的错误，应当允许申请单位当场更正，但申请材料中涉及技术性的实质内容除外。申请单位应当对更正内容予以书面确认。（五）申请材料不符合本规定的，应当当场或者在5个工作日内出具“申请材料补正通知书”，一次告知申报单位需要补正的全部内容，逾期不告知的，自收到申请材料之日起即为受理；补正的申请材料仍然不符合有关要求的，受理机构可以要求继续补正。（六）申请材料齐全、符合法定形式，或者申请单位按照要求提交全部补正申请材料并符合要求的，应当受理其卫生行政许可申请，出具“行政许可申请受理通知书”，并告知其审批所需的期限。第十七条　省级卫生行政部门受理涉水产品卫生行政许可申请后，根据产品特点确定审查的方式。需要聘请专家进行技术审查的，应聘请3人以上专家对申报资料进行技术审查，负责技术审查的有关专家及技术人员根据卫生安全危险性评估的结果作出技术审查意见。第十八条　省级卫生行政部门自受理申请之日（对需要进行技术审查的，自接收到技术审查结论之日）起20日内完成行政审查，并依法作出是否批准的卫生行政许可决定。第二十九条：“申请在原批准省（区、市）增加或变更实际生产地的，除提交变更申请表、卫生许可批件原件外，还应申请对新生产场所进行现场审核，对新生产场所生产的产品重新封样送检，并提供现场审核意见和相应检验报告。”</w:t>
            </w:r>
          </w:p>
          <w:p>
            <w:pPr>
              <w:pStyle w:val="10"/>
              <w:shd w:val="clear" w:color="auto" w:fill="FFFFFF"/>
              <w:spacing w:before="0" w:beforeAutospacing="0" w:after="225" w:afterAutospacing="0" w:line="360" w:lineRule="exact"/>
              <w:ind w:firstLine="420" w:firstLineChars="200"/>
              <w:jc w:val="both"/>
              <w:rPr>
                <w:rFonts w:ascii="Times New Roman" w:hAnsi="Times New Roman" w:cs="Arial" w:eastAsiaTheme="minorEastAsia"/>
                <w:sz w:val="21"/>
                <w:szCs w:val="21"/>
              </w:rPr>
            </w:pPr>
            <w:r>
              <w:rPr>
                <w:rFonts w:hint="eastAsia" w:ascii="Times New Roman" w:hAnsi="Times New Roman" w:cs="Times New Roman" w:eastAsiaTheme="minorEastAsia"/>
                <w:kern w:val="2"/>
                <w:sz w:val="21"/>
                <w:szCs w:val="21"/>
              </w:rPr>
              <w:t>3、《卫生部涉及饮用水卫生安全产品卫生行政许可申报受理规定》（卫监督发[2006]191号，2006年6月1日起实施）</w:t>
            </w:r>
            <w:r>
              <w:rPr>
                <w:rFonts w:ascii="Times New Roman" w:hAnsi="Times New Roman" w:cs="Times New Roman" w:eastAsiaTheme="minorEastAsia"/>
                <w:kern w:val="2"/>
                <w:sz w:val="21"/>
                <w:szCs w:val="21"/>
              </w:rPr>
              <w:t>第四条</w:t>
            </w:r>
            <w:r>
              <w:rPr>
                <w:rFonts w:hint="eastAsia" w:ascii="Times New Roman" w:hAnsi="Times New Roman" w:cs="Times New Roman" w:eastAsiaTheme="minorEastAsia"/>
                <w:kern w:val="2"/>
                <w:sz w:val="21"/>
                <w:szCs w:val="21"/>
              </w:rPr>
              <w:t>：</w:t>
            </w:r>
            <w:bookmarkStart w:id="1" w:name="4106452-4305506-1_2"/>
            <w:bookmarkEnd w:id="1"/>
            <w:r>
              <w:rPr>
                <w:rFonts w:hint="eastAsia" w:ascii="Times New Roman" w:hAnsi="Times New Roman" w:cs="Times New Roman" w:eastAsiaTheme="minorEastAsia"/>
                <w:kern w:val="2"/>
                <w:sz w:val="21"/>
                <w:szCs w:val="21"/>
              </w:rPr>
              <w:t>“</w:t>
            </w:r>
            <w:r>
              <w:rPr>
                <w:rFonts w:ascii="Times New Roman" w:hAnsi="Times New Roman" w:cs="Times New Roman" w:eastAsiaTheme="minorEastAsia"/>
                <w:kern w:val="2"/>
                <w:sz w:val="21"/>
                <w:szCs w:val="21"/>
              </w:rPr>
              <w:t>申报材料的一般要求：(一)首次申报涉水产品许可的，提供原件1份、复印件4份;复印件应当清晰并与原件一致;(二)申请延续、变更、补发批件、补正资料的，提供原件1份;(三)除检验报告及官方证明文件外，申报材料原件应逐页加盖申报单位公章或盖骑缝章;(四)使用A4规格纸张打印，使用明显区分标志，按规定顺序排列，并装订成册</w:t>
            </w:r>
            <w:r>
              <w:rPr>
                <w:rFonts w:ascii="Times New Roman" w:hAnsi="Times New Roman" w:cs="Arial" w:eastAsiaTheme="minorEastAsia"/>
                <w:sz w:val="21"/>
                <w:szCs w:val="21"/>
              </w:rPr>
              <w:t>;(五)使用中国法定计量单位;(六)申报内容应完整、清楚，同一项目的填写应当一致;(七)所有外文(国外地址除外)均应译为规范的中文，并将译文附在相应的外文资料前。</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第五条</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申请国产涉水产品许可的，应提交下列材料：(一)国产涉及饮用水卫生安全产品卫生行政许可申请表;(二)省级卫生监督部门出具的生产现场审查意见;(三)企业标准;(四)经认定的涉水产品检验机构出具的检验报告(并附上检验申请表、检验受理通知书、产品说明书和采样单);(五)代理申报的，应提供委托代理证明;(六)可能有助于评审的其它资料。另附完整产品样品 1件。大型水质处理器应提供产品照片。</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第六条</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申请进口涉水产品许可的，应提交下列申报材料：(一)进口涉及饮用水卫生安全产品卫生行政许可申请表;(二)产品材料及配方;(三)产品质量标准;(四)经卫生部认定的检验机构出具的检验报告(并附上检验申请表、检验受理通知书和产品说明书);(五)产品标签(铭牌);(六)产品说明书样稿;(七)产品中与水接触的主要材料及可能对人体有危害材料的卫生安全合格证明(指卫生许可批件或者由通过计量认证的检验机构出具的检验报告);(八)产品生产国(地区)允许生产销售的证明文件;(九)代理申报的，应提供委托代理证明;(十)可能有助于评审的其它资料。另附完整产品样品 1件。大型水质处理器应提供产品照片。</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第七条</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申请涉水产品新产品的，应提交下列材料：(一)涉及饮用水卫生安全产品卫生行政许可申请表;(二)研制报告：1、该产品研发的背景、过程、原理等相关的技术资料;2、国内外应用现状;3、相关的试验数据。(三)产品材料及配方;(四)生产工艺简述及简图;(五)企业(质量)标准;(六)使用说明书、标签(铭牌);(七)国内外的文献资料;(八)专用于生活饮用水消毒的消毒器械应提供产品结构图和作用原理;(九)进口产品生产国(地区)生产销售的证明文件;(十)代理申报的，应提供委托代理证明;(十一)可能有助于评审的其它资料。另附完整的产品样品 1件。大型水质处理器应提供产品照片。</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第八条</w:t>
            </w:r>
            <w:r>
              <w:rPr>
                <w:rFonts w:hint="eastAsia" w:ascii="Times New Roman" w:hAnsi="Times New Roman" w:cs="Arial" w:eastAsiaTheme="minorEastAsia"/>
                <w:sz w:val="21"/>
                <w:szCs w:val="21"/>
              </w:rPr>
              <w:t>：“</w:t>
            </w:r>
            <w:r>
              <w:rPr>
                <w:rFonts w:ascii="Times New Roman" w:hAnsi="Times New Roman" w:cs="Arial" w:eastAsiaTheme="minorEastAsia"/>
                <w:sz w:val="21"/>
                <w:szCs w:val="21"/>
              </w:rPr>
              <w:t>申报产品以委托加工方式生产的，除按规定提交材料外，还须提供以下材料：(一)委托方与被委托方签订的委托加工协议书;(二)进口产品应提供被委托生产企业的质量管理体系或良好生产规范的证明文件。</w:t>
            </w:r>
            <w:r>
              <w:rPr>
                <w:rFonts w:hint="eastAsia" w:ascii="Times New Roman" w:hAnsi="Times New Roman" w:cs="Arial" w:eastAsiaTheme="minorEastAsia"/>
                <w:sz w:val="21"/>
                <w:szCs w:val="21"/>
              </w:rPr>
              <w:t>”</w:t>
            </w:r>
            <w:r>
              <w:rPr>
                <w:rFonts w:ascii="Times New Roman" w:hAnsi="Times New Roman" w:eastAsiaTheme="minorEastAsia"/>
                <w:sz w:val="21"/>
                <w:szCs w:val="21"/>
              </w:rPr>
              <w:t>第九条</w:t>
            </w:r>
            <w:r>
              <w:rPr>
                <w:rFonts w:hint="eastAsia" w:ascii="Times New Roman" w:hAnsi="Times New Roman" w:eastAsiaTheme="minorEastAsia"/>
                <w:sz w:val="21"/>
                <w:szCs w:val="21"/>
              </w:rPr>
              <w:t>：“</w:t>
            </w:r>
            <w:r>
              <w:rPr>
                <w:rFonts w:ascii="Times New Roman" w:hAnsi="Times New Roman" w:eastAsiaTheme="minorEastAsia"/>
                <w:sz w:val="21"/>
                <w:szCs w:val="21"/>
              </w:rPr>
              <w:t>申请延续许可有效期的，应提交下列材料：(一)涉及饮用水卫生安全产品卫生行政许可延续申请表;(二)卫生许可批件原件;(三)产品配方;(四)质量标准或经备案的企业标准;(五)市售产品说明书;(六)市售产品标签(铭牌);(七)代理申报的，应提供委托代理证明。另附市场销售产品(样品)1件。大型水质处理器应提供产品的照片。</w:t>
            </w:r>
            <w:r>
              <w:rPr>
                <w:rFonts w:hint="eastAsia" w:ascii="Times New Roman" w:hAnsi="Times New Roman" w:eastAsiaTheme="minorEastAsia"/>
                <w:sz w:val="21"/>
                <w:szCs w:val="21"/>
              </w:rPr>
              <w:t>”</w:t>
            </w:r>
            <w:r>
              <w:rPr>
                <w:rFonts w:ascii="Times New Roman" w:hAnsi="Times New Roman" w:eastAsiaTheme="minorEastAsia"/>
                <w:sz w:val="21"/>
                <w:szCs w:val="21"/>
              </w:rPr>
              <w:t>第十条</w:t>
            </w:r>
            <w:r>
              <w:rPr>
                <w:rFonts w:hint="eastAsia" w:ascii="Times New Roman" w:hAnsi="Times New Roman" w:eastAsiaTheme="minorEastAsia"/>
                <w:sz w:val="21"/>
                <w:szCs w:val="21"/>
              </w:rPr>
              <w:t>：“</w:t>
            </w:r>
            <w:r>
              <w:rPr>
                <w:rFonts w:ascii="Times New Roman" w:hAnsi="Times New Roman" w:eastAsiaTheme="minorEastAsia"/>
                <w:sz w:val="21"/>
                <w:szCs w:val="21"/>
              </w:rPr>
              <w:t>申请变更许可事项的，应提交以下材料：(一)健康相关产品卫生行政许可变更申请表;(二)卫生许可批件原件;(三)其他材料：1、生产企业名称、地址的变更：(1)国产产品须提供当地工商行政管理机关出具的证明文件原件;(2)进口产品须提供生产国政府有关部门或认可机构出具的相关证明文件，其中，因企业间的收购、合并而提出变更生产企业名称的，也可以提供双方签订的收购或合并合同的复印件。证明文件需翻译成中文，中文译文应有中国公证机关的公证;(3)企业集团内部进行调整的，应提供当地工商行政管理机关出具的变更前后生产企业同属于一个集团的证明文件;子公司为台港澳投资企业或外资投资企业的，可提供《中华人民共和国外商投资企业批准证书》或《中华人民共和国台港澳侨投资企业批准证书》公证后的复印件;(4)涉及改变生产现场的，应提交变更后生产企业产品的卫生安全性检验报告(大型水质处理器除外)。国产产品，还应提交变更后生产企业所在地省级卫生监督部门出具的生产现场审核意见;进口产品，必要时卫生部对其生产现场进行审查和(或)抽样复验。2、申请变更产品中文名称的，应在变更申请表中说明理由，并提交变更后的产品标签或铭牌。进口产品外文名称不得变更;3、产品批件备注栏中实际生产企业的变更：(1)涉及委托生产关系的，提供委托加工协议书;(2)提供变更后生产企业产品的卫生学检验报告(大型水质处理器除外);(3)变更后生产企业所在地省级卫生监督部门出具的生产现场审查意见。4、申请其他可变更项目变更的，应详细说明理由，并提供相关证明文件。</w:t>
            </w:r>
            <w:r>
              <w:rPr>
                <w:rFonts w:hint="eastAsia" w:ascii="Times New Roman" w:hAnsi="Times New Roman" w:eastAsiaTheme="minorEastAsia"/>
                <w:sz w:val="21"/>
                <w:szCs w:val="21"/>
              </w:rPr>
              <w:t>”</w:t>
            </w:r>
            <w:r>
              <w:rPr>
                <w:rFonts w:ascii="Times New Roman" w:hAnsi="Times New Roman" w:eastAsiaTheme="minorEastAsia"/>
                <w:sz w:val="21"/>
                <w:szCs w:val="21"/>
              </w:rPr>
              <w:t>第十一条</w:t>
            </w:r>
            <w:r>
              <w:rPr>
                <w:rFonts w:hint="eastAsia" w:ascii="Times New Roman" w:hAnsi="Times New Roman" w:eastAsiaTheme="minorEastAsia"/>
                <w:sz w:val="21"/>
                <w:szCs w:val="21"/>
              </w:rPr>
              <w:t>：“</w:t>
            </w:r>
            <w:r>
              <w:rPr>
                <w:rFonts w:ascii="Times New Roman" w:hAnsi="Times New Roman" w:eastAsiaTheme="minorEastAsia"/>
                <w:sz w:val="21"/>
                <w:szCs w:val="21"/>
              </w:rPr>
              <w:t>申请补发许可批件的，应提交下列材料：(一)健康相关产品卫生许可批件补发申请表;(二)因批件损毁申请补发的，提供健康相关产品卫生许可批件原件;(三)因批件遗失申请补发的，提供刊载遗失声明的省级以上报刊原件(遗失声明应刊登20日以上)。</w:t>
            </w:r>
            <w:r>
              <w:rPr>
                <w:rFonts w:hint="eastAsia" w:ascii="Times New Roman" w:hAnsi="Times New Roman" w:eastAsiaTheme="minorEastAsia"/>
                <w:sz w:val="21"/>
                <w:szCs w:val="21"/>
              </w:rPr>
              <w:t>”</w:t>
            </w:r>
          </w:p>
          <w:p>
            <w:pPr>
              <w:spacing w:line="360" w:lineRule="exact"/>
              <w:ind w:firstLine="420" w:firstLineChars="200"/>
              <w:rPr>
                <w:rFonts w:ascii="Times New Roman" w:hAnsi="Times New Roman" w:cs="宋体" w:eastAsiaTheme="minorEastAsia"/>
                <w:kern w:val="0"/>
                <w:szCs w:val="21"/>
              </w:rPr>
            </w:pPr>
            <w:r>
              <w:rPr>
                <w:rFonts w:hint="eastAsia" w:ascii="Times New Roman" w:hAnsi="Times New Roman" w:cs="宋体" w:eastAsiaTheme="minorEastAsia"/>
                <w:kern w:val="0"/>
                <w:szCs w:val="21"/>
              </w:rPr>
              <w:t>4、《生活饮用水卫生监督管理办法》（2016年4月17日中华人民共和国住房和城乡建设部、国家卫生和计划生育委员会令第31号）第四条：“国家对供水单位和涉及饮用水卫生安全的产品实行卫生许可制度。”第九条：“供水单位应建立饮用水卫生管理规章制度，配备专职或兼职人员，负责饮用水卫生管理工作。”</w:t>
            </w:r>
            <w:r>
              <w:rPr>
                <w:rFonts w:hint="eastAsia" w:ascii="Times New Roman" w:hAnsi="Times New Roman" w:eastAsiaTheme="minorEastAsia"/>
                <w:szCs w:val="21"/>
              </w:rPr>
              <w:t>第十二条：“生产涉及饮用水卫生安全的产品的单位和个人，必须按规定向政府卫生计生主管部门申请办理产品卫生许可批准文件，取得批准文件后，方可生产和销售。任何单位和个人不得生产、销售、使用无批准文件的前款产品。</w:t>
            </w:r>
            <w:r>
              <w:rPr>
                <w:rFonts w:hint="eastAsia" w:ascii="Times New Roman" w:hAnsi="Times New Roman" w:cs="宋体" w:eastAsiaTheme="minorEastAsia"/>
                <w:kern w:val="0"/>
                <w:szCs w:val="21"/>
              </w:rPr>
              <w:t>”</w:t>
            </w:r>
          </w:p>
          <w:p>
            <w:pPr>
              <w:spacing w:line="360" w:lineRule="exact"/>
              <w:ind w:firstLine="420" w:firstLineChars="200"/>
              <w:rPr>
                <w:rFonts w:ascii="Times New Roman" w:hAnsi="Times New Roman" w:eastAsiaTheme="minorEastAsia"/>
                <w:szCs w:val="21"/>
              </w:rPr>
            </w:pPr>
            <w:r>
              <w:rPr>
                <w:rFonts w:hint="eastAsia" w:ascii="Times New Roman" w:hAnsi="Times New Roman" w:cs="宋体" w:eastAsiaTheme="minorEastAsia"/>
                <w:kern w:val="0"/>
                <w:szCs w:val="21"/>
              </w:rPr>
              <w:t>5、《四川省人民政府关于取消、下放第三批行政审批项目的决定》（川府发【2013】63号，2013年12月27日）。</w:t>
            </w:r>
          </w:p>
          <w:p>
            <w:pPr>
              <w:spacing w:line="360" w:lineRule="exact"/>
              <w:ind w:firstLine="420" w:firstLineChars="200"/>
              <w:rPr>
                <w:rFonts w:ascii="Times New Roman" w:hAnsi="Times New Roman"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涉及饮用水产品卫生许可</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涉及饮用水产品卫生许可</w:t>
            </w:r>
            <w:r>
              <w:rPr>
                <w:rFonts w:ascii="Times New Roman" w:hAnsi="Times New Roman" w:eastAsiaTheme="minorEastAsia"/>
                <w:szCs w:val="21"/>
              </w:rPr>
              <w:t>书面申请材料</w:t>
            </w:r>
            <w:r>
              <w:rPr>
                <w:rFonts w:hint="eastAsia" w:ascii="Times New Roman" w:hAnsi="Times New Roman" w:eastAsiaTheme="minorEastAsia"/>
                <w:szCs w:val="21"/>
              </w:rPr>
              <w:t>和现场设施布局</w:t>
            </w:r>
            <w:r>
              <w:rPr>
                <w:rFonts w:ascii="Times New Roman" w:hAnsi="Times New Roman" w:eastAsiaTheme="minorEastAsia"/>
                <w:szCs w:val="21"/>
              </w:rPr>
              <w:t>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对申请涉及饮用水产品卫生许可的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w:t>
            </w:r>
            <w:r>
              <w:rPr>
                <w:rFonts w:hint="eastAsia" w:ascii="Times New Roman" w:hAnsi="Times New Roman" w:eastAsiaTheme="minorEastAsia"/>
                <w:szCs w:val="21"/>
              </w:rPr>
              <w:t>-1</w:t>
            </w:r>
            <w:r>
              <w:rPr>
                <w:rFonts w:ascii="Times New Roman" w:hAnsi="Times New Roman" w:eastAsiaTheme="minorEastAsia"/>
                <w:szCs w:val="21"/>
              </w:rPr>
              <w:t>．《中华人民共和国行政许可法》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-2.《卫生部关于印发&lt;省级涉及饮用水卫生安全产品卫生行政许可程序&gt;的通知》（卫监督发〔2009〕75号，2010年1月1日起施行）第十六条：“省级卫生行政部门涉水产品许可受理机构应当在接收涉水产品行政许可申请材料时，向申请单位出具“行政许可申请材料接收凭证”；对申请事项是否需要许可、申请资料是否符合法定形式、申请材料是否齐全、产品检验结果是否符合相应国家标准或规范等进行核对，并根据下列情况分别做出处理：（一）申请事项依法不需要取得卫生行政许可的，应当即时告知申报单位不受理；（二）申请事项依法不属于卫生行政部门职权范围的，应当即时做出不予受理的决定，并告知申请单位向有关行政机关申请；（三）超过规定期限提出延续申请的，应当即时做出不予受理的决定；（四）申请材料存在可以当场更正的错误，应当允许申请单位当场更正，但申请材料中涉及技术性的实质内容除外。申请单位应当对更正内容予以书面确认；（五）申请材料不符合本规定的，应当当场或者在5个工作日内出具“申请材料补正通知书”，一次告知申报单位需要补正的全部内容，逾期不告知的，自收到申请材料之日起即为受理；补正的申请材料仍然不符合有关要求的，受理机构可以要求继续补正；（六）申请材料齐全、符合法定形式，或者申请单位按照要求提交全部补正申请材料并符合要求的，应当受理其卫生行政许可申请，出具“行政许可申请受理通知书”，并告知其审批所需的期限”</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w:t>
            </w:r>
            <w:r>
              <w:rPr>
                <w:rFonts w:ascii="Times New Roman" w:hAnsi="Times New Roman" w:eastAsiaTheme="minorEastAsia"/>
                <w:szCs w:val="21"/>
              </w:rPr>
              <w:t>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卫生部关于印发&lt;省级涉及饮用水卫生安全产品卫生行政许可程序&gt;的通知》（卫监督发〔2009〕75号，2010年1月1日起施行）第十七条：“省级卫生行政部门受理涉水产品卫生行政许可申请后，根据产品特点确定审查的方式。需要聘请专家进行技术审查的，应聘请3人以上专家对申报资料进行技术审查，负责技术审查的有关专家及技术人员根据卫生安全危险性评估的结果作出技术审查意见。”第十八条：“省级卫生行政部门自受理申请之日（对需要进行技术审查的，自接收到技术审查结论之日）起20日内完成行政审查，并依法作出是否批准的卫生行政许可决定。”</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8438</w:t>
            </w:r>
            <w:r>
              <w:rPr>
                <w:rFonts w:hint="eastAsia" w:ascii="Times New Roman" w:hAnsi="Times New Roman" w:eastAsiaTheme="minorEastAsia"/>
                <w:szCs w:val="21"/>
              </w:rPr>
              <w:t>4493</w:t>
            </w:r>
          </w:p>
        </w:tc>
      </w:tr>
    </w:tbl>
    <w:p>
      <w:pPr>
        <w:widowControl/>
        <w:spacing w:line="360" w:lineRule="exact"/>
        <w:jc w:val="left"/>
        <w:rPr>
          <w:rFonts w:ascii="Times New Roman" w:hAnsi="Times New Roman" w:eastAsiaTheme="minorEastAsia"/>
          <w:szCs w:val="21"/>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rPr>
      </w:pPr>
      <w:r>
        <w:rPr>
          <w:rFonts w:hint="eastAsia" w:ascii="Times New Roman" w:hAnsi="Times New Roman"/>
        </w:rPr>
        <w:t>表2-91</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fldChar w:fldCharType="begin"/>
            </w:r>
            <w:r>
              <w:instrText xml:space="preserve"> HYPERLINK "javascript:void(0)" </w:instrText>
            </w:r>
            <w:r>
              <w:fldChar w:fldCharType="separate"/>
            </w:r>
            <w:r>
              <w:rPr>
                <w:rStyle w:val="16"/>
                <w:rFonts w:hint="eastAsia" w:ascii="Times New Roman" w:hAnsi="Times New Roman"/>
                <w:color w:val="auto"/>
                <w:u w:val="none"/>
              </w:rPr>
              <w:t>麻醉药品和第一类精神药品购用许可</w:t>
            </w:r>
            <w:r>
              <w:rPr>
                <w:rStyle w:val="16"/>
                <w:rFonts w:hint="eastAsia" w:ascii="Times New Roman" w:hAnsi="Times New Roman"/>
                <w:color w:val="auto"/>
                <w:u w:val="non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1.《中华人民共和国药品管理法》（国家主席令45号，2001年2月28日）第三十五条：“国家对麻醉药品、精神药品、医疗用毒性药品、放射性药品、实行特殊管理。管理办法由国务院制定。”</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麻醉药品和精神药品管理条例》（国务院令第442号，2005年8月3日）第三十六条：“医疗机构需要使用麻醉药品和第一类精神药品的，应当经所在地设区的市级人民政府卫生主管部门批准，取得麻醉药品、第一类精神药品购用印鉴卡（以下称印鉴卡）。医疗机构应当凭印鉴卡向本省、自治区、直辖市行政区域内的定点批发企业购买麻醉药品和第一类精神药品。</w:t>
            </w:r>
            <w:r>
              <w:rPr>
                <w:rFonts w:ascii="Times New Roman" w:hAnsi="Times New Roman" w:eastAsiaTheme="minorEastAsia"/>
                <w:szCs w:val="21"/>
              </w:rPr>
              <w:t>设区的市级人民政府卫生主管部门发给医疗机构印鉴卡时，应当将取得印鉴卡的医疗机构情况抄送所在地设区的市级药品监督管理部门，并报省、自治区、直辖市人民政府卫生主管部门备案。省、自治区、直辖市人民政府卫生主管部门应当将取得印鉴卡的医疗机构名单向本行政区域内的定点批发企业通报。</w:t>
            </w:r>
            <w:r>
              <w:rPr>
                <w:rFonts w:hint="eastAsia" w:ascii="Times New Roman" w:hAnsi="Times New Roman" w:eastAsiaTheme="minor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fldChar w:fldCharType="begin"/>
            </w:r>
            <w:r>
              <w:instrText xml:space="preserve"> HYPERLINK "javascript:void(0)" </w:instrText>
            </w:r>
            <w:r>
              <w:fldChar w:fldCharType="separate"/>
            </w:r>
            <w:r>
              <w:rPr>
                <w:rStyle w:val="16"/>
                <w:rFonts w:hint="eastAsia" w:ascii="Times New Roman" w:hAnsi="Times New Roman"/>
                <w:color w:val="auto"/>
                <w:u w:val="none"/>
              </w:rPr>
              <w:t>麻醉药品和第一类精神药品购用许可</w:t>
            </w:r>
            <w:r>
              <w:rPr>
                <w:rStyle w:val="16"/>
                <w:rFonts w:hint="eastAsia" w:ascii="Times New Roman" w:hAnsi="Times New Roman"/>
                <w:color w:val="auto"/>
                <w:u w:val="none"/>
              </w:rPr>
              <w:fldChar w:fldCharType="end"/>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fldChar w:fldCharType="begin"/>
            </w:r>
            <w:r>
              <w:instrText xml:space="preserve"> HYPERLINK "javascript:void(0)" </w:instrText>
            </w:r>
            <w:r>
              <w:fldChar w:fldCharType="separate"/>
            </w:r>
            <w:r>
              <w:rPr>
                <w:rStyle w:val="16"/>
                <w:rFonts w:hint="eastAsia" w:ascii="Times New Roman" w:hAnsi="Times New Roman"/>
                <w:color w:val="auto"/>
                <w:u w:val="none"/>
              </w:rPr>
              <w:t>麻醉药品和第一类精神药品购用许可</w:t>
            </w:r>
            <w:r>
              <w:rPr>
                <w:rStyle w:val="16"/>
                <w:rFonts w:hint="eastAsia" w:ascii="Times New Roman" w:hAnsi="Times New Roman"/>
                <w:color w:val="auto"/>
                <w:u w:val="none"/>
              </w:rPr>
              <w:fldChar w:fldCharType="end"/>
            </w:r>
            <w:r>
              <w:rPr>
                <w:rFonts w:ascii="Times New Roman" w:hAnsi="Times New Roman" w:eastAsiaTheme="minorEastAsia"/>
                <w:szCs w:val="21"/>
              </w:rPr>
              <w:t>书面申请材料</w:t>
            </w:r>
            <w:r>
              <w:rPr>
                <w:rFonts w:hint="eastAsia" w:ascii="Times New Roman" w:hAnsi="Times New Roman" w:eastAsiaTheme="minorEastAsia"/>
                <w:szCs w:val="21"/>
              </w:rPr>
              <w:t>和现场设置</w:t>
            </w:r>
            <w:r>
              <w:rPr>
                <w:rFonts w:ascii="Times New Roman" w:hAnsi="Times New Roman" w:eastAsiaTheme="minorEastAsia"/>
                <w:szCs w:val="21"/>
              </w:rPr>
              <w:t>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w:t>
            </w:r>
            <w:r>
              <w:fldChar w:fldCharType="begin"/>
            </w:r>
            <w:r>
              <w:instrText xml:space="preserve"> HYPERLINK "javascript:void(0)" </w:instrText>
            </w:r>
            <w:r>
              <w:fldChar w:fldCharType="separate"/>
            </w:r>
            <w:r>
              <w:rPr>
                <w:rStyle w:val="16"/>
                <w:rFonts w:hint="eastAsia" w:ascii="Times New Roman" w:hAnsi="Times New Roman"/>
                <w:color w:val="auto"/>
                <w:u w:val="none"/>
              </w:rPr>
              <w:t>麻醉药品和第一类精神药品购用许可</w:t>
            </w:r>
            <w:r>
              <w:rPr>
                <w:rStyle w:val="16"/>
                <w:rFonts w:hint="eastAsia" w:ascii="Times New Roman" w:hAnsi="Times New Roman"/>
                <w:color w:val="auto"/>
                <w:u w:val="none"/>
              </w:rPr>
              <w:fldChar w:fldCharType="end"/>
            </w:r>
            <w:r>
              <w:rPr>
                <w:rFonts w:hint="eastAsia" w:ascii="Times New Roman" w:hAnsi="Times New Roman" w:eastAsiaTheme="minorEastAsia"/>
                <w:szCs w:val="21"/>
              </w:rPr>
              <w:t>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w:t>
            </w:r>
            <w:r>
              <w:rPr>
                <w:rFonts w:ascii="Times New Roman" w:hAnsi="Times New Roman" w:eastAsiaTheme="minorEastAsia"/>
                <w:szCs w:val="21"/>
              </w:rPr>
              <w:t>．《中华人民共和国行政许可法》</w:t>
            </w:r>
            <w:r>
              <w:rPr>
                <w:rFonts w:hint="eastAsia" w:ascii="Times New Roman" w:hAnsi="Times New Roman" w:eastAsiaTheme="minorEastAsia"/>
                <w:szCs w:val="21"/>
              </w:rPr>
              <w:t>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 xml:space="preserve"> </w:t>
            </w: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1</w:t>
            </w:r>
            <w:r>
              <w:rPr>
                <w:rFonts w:ascii="Times New Roman" w:hAnsi="Times New Roman" w:eastAsiaTheme="minorEastAsia"/>
                <w:szCs w:val="21"/>
              </w:rPr>
              <w:t>．《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w:t>
            </w:r>
            <w:r>
              <w:rPr>
                <w:rFonts w:ascii="Times New Roman" w:hAnsi="Times New Roman" w:eastAsiaTheme="minorEastAsia"/>
                <w:szCs w:val="21"/>
              </w:rPr>
              <w:t>-</w:t>
            </w:r>
            <w:r>
              <w:rPr>
                <w:rFonts w:hint="eastAsia" w:ascii="Times New Roman" w:hAnsi="Times New Roman" w:eastAsiaTheme="minorEastAsia"/>
                <w:szCs w:val="21"/>
              </w:rPr>
              <w:t>2</w:t>
            </w:r>
            <w:r>
              <w:rPr>
                <w:rFonts w:ascii="Times New Roman" w:hAnsi="Times New Roman" w:eastAsiaTheme="minorEastAsia"/>
                <w:szCs w:val="21"/>
              </w:rPr>
              <w:t>．《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麻醉药品和精神药品管理条例》（国务院令第442号，2005年8月3日）第五十六条：“申请人提出本条例规定的审批事项申请，应当提交能够证明其符合本条例规定条件的相关资料。审批部门应当自收到申请之日起40日内作出是否批准的决定；作出批准决定的，发给许可证明文件或者在相关许可证明文件上加注许可事项；作出不予批准决定的，应当书面说明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对不履行或不正确履行行政职责的行政机关及其工作人员，依据《中华人民共和国行政监察法》、《中华人民共和国行政许可法》、《行政机关公务员处分条例》、《四川省行政审批违法违纪行为责任追究办法》、《四川省行政机关工作人员行政过错责任追究试行办法》</w:t>
            </w:r>
            <w:r>
              <w:rPr>
                <w:rFonts w:hint="eastAsia" w:ascii="Times New Roman" w:hAnsi="Times New Roman" w:eastAsiaTheme="minorEastAsia"/>
                <w:szCs w:val="21"/>
              </w:rPr>
              <w:t>《</w:t>
            </w:r>
            <w:r>
              <w:rPr>
                <w:rFonts w:ascii="Times New Roman" w:hAnsi="Times New Roman" w:eastAsiaTheme="minorEastAsia"/>
                <w:szCs w:val="21"/>
              </w:rPr>
              <w:t>卫生行政许可管理办法</w:t>
            </w:r>
            <w:r>
              <w:rPr>
                <w:rFonts w:hint="eastAsia" w:ascii="Times New Roman" w:hAnsi="Times New Roman" w:eastAsiaTheme="minorEastAsia"/>
                <w:szCs w:val="21"/>
              </w:rPr>
              <w:t>》</w:t>
            </w:r>
            <w:r>
              <w:rPr>
                <w:rFonts w:ascii="Times New Roman" w:hAnsi="Times New Roman" w:eastAsiaTheme="minorEastAsia"/>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w:t>
            </w:r>
            <w:r>
              <w:rPr>
                <w:rFonts w:hint="eastAsia" w:ascii="Times New Roman" w:hAnsi="Times New Roman" w:eastAsiaTheme="minorEastAsia"/>
                <w:szCs w:val="21"/>
              </w:rPr>
              <w:t>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表2-92</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放射性职业病危害建设项目预评价报告审核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1.《中华人民共和国职业病防治法》（国主席令第48号，2016年7月2日）第十七条：“第十七条 新建、扩建、改建建设项目和技术改造、技术引进项目（以下统称建设项目）可能产生职业病危害的，建设单位在可行性论证阶段应当进行职业病危害预评价。医疗机构建设项目可能产生放射性职业病危害的，建设单位应当向卫生行政部门提交放射性职业病危害预评价报告。卫生行政部门应当自收到预评价报告之日起三十日内，作出审核决定并书面通知建设单位。未提交预评价报告或者预评价报告未经卫生行政部门审核同意的，不得开工建设。职业病危害预评价报告应当对建设项目可能产生的职业病危害因素及其对工作场所和劳动者健康的影响作出评价，确定危害类别和职业病防护措施。建设项目职业病危害分类管理办法由国务院安全生产监督管理部门制定。”</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放射诊疗管理规定》（国家卫生和计划生育委员会令第8号，2016年1月19日）第十一条：“医疗机构设置放射诊疗项目，应当按照其开展的放射诊疗工作的类别，分别向相应的卫生行政部门提出建设项目卫生审查、竣工验收和设置放射诊疗项目申请:(一)开展放射治疗、核医学工作的，向省级卫生行政部门申请办理;(二)开展介入放射学工作的，向设区的市级卫生行政部门申请办理;(三)开展X射线影像诊断工作的，向县级卫生行政部门申请办理。同时开展不同类别放射诊疗工作的，向具有高类别审批权的卫生行政部门申请办理。”第十二条：“新建、扩建、改建放射诊疗建设项目，医疗机构应当在建设项目施工前向相应的卫生行政部门提交职业病危害放射防护预评价报告，申请进行建设项目卫生审查。立体定向放射治疗、质子治疗、重离子治疗、带回旋加速器的正电子发射断层扫描诊断等放射诊疗建设项目，还应当提交卫生部指定的放射卫生技术机构出具的预评价报告技术审查意见。卫生行政部门应当自收到预评价报告之日起30日内，作出审核决定。经审核符合国家相关卫生标准和要求的，方可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1.受理责任：公示</w:t>
            </w:r>
            <w:r>
              <w:rPr>
                <w:rFonts w:hint="eastAsia" w:ascii="Times New Roman" w:hAnsi="Times New Roman" w:eastAsiaTheme="minorEastAsia"/>
                <w:szCs w:val="21"/>
              </w:rPr>
              <w:t>放射性职业病危害预评价报告审核</w:t>
            </w:r>
            <w:r>
              <w:rPr>
                <w:rFonts w:ascii="Times New Roman" w:hAnsi="Times New Roman" w:eastAsiaTheme="minorEastAsia"/>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w:t>
            </w:r>
            <w:r>
              <w:rPr>
                <w:rFonts w:hint="eastAsia" w:ascii="Times New Roman" w:hAnsi="Times New Roman" w:eastAsiaTheme="minorEastAsia"/>
                <w:szCs w:val="21"/>
              </w:rPr>
              <w:t>放射性职业病危害预评价报告审核</w:t>
            </w:r>
            <w:r>
              <w:rPr>
                <w:rFonts w:ascii="Times New Roman" w:hAnsi="Times New Roman" w:eastAsiaTheme="minorEastAsia"/>
                <w:szCs w:val="21"/>
              </w:rPr>
              <w:t>书面申请材料</w:t>
            </w:r>
            <w:r>
              <w:rPr>
                <w:rFonts w:hint="eastAsia" w:ascii="Times New Roman" w:hAnsi="Times New Roman" w:eastAsiaTheme="minorEastAsia"/>
                <w:szCs w:val="21"/>
              </w:rPr>
              <w:t>和现场设置</w:t>
            </w:r>
            <w:r>
              <w:rPr>
                <w:rFonts w:ascii="Times New Roman" w:hAnsi="Times New Roman" w:eastAsiaTheme="minorEastAsia"/>
                <w:szCs w:val="21"/>
              </w:rPr>
              <w:t>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3.决定责任：在规定时限内，</w:t>
            </w:r>
            <w:r>
              <w:rPr>
                <w:rFonts w:hint="eastAsia" w:ascii="Times New Roman" w:hAnsi="Times New Roman" w:eastAsiaTheme="minorEastAsia"/>
                <w:szCs w:val="21"/>
              </w:rPr>
              <w:t>对申请放射性职业病危害预评价报告审核的</w:t>
            </w:r>
            <w:r>
              <w:rPr>
                <w:rFonts w:ascii="Times New Roman" w:hAnsi="Times New Roman" w:eastAsiaTheme="minorEastAsia"/>
                <w:szCs w:val="21"/>
              </w:rPr>
              <w:t>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w:t>
            </w:r>
            <w:r>
              <w:rPr>
                <w:rFonts w:ascii="Times New Roman" w:hAnsi="Times New Roman" w:eastAsiaTheme="minorEastAsia"/>
                <w:szCs w:val="21"/>
              </w:rPr>
              <w:t>.其他责任：法律法规规章文件规定应履行的其他责任。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 《放射诊疗管理规定》（国家卫生和计划生育委员会令第8号，2016年1月19日）第十二条 ：“新建、扩建、改建放射诊疗建设项目，医疗机构应当在建设项目施工前向相应的卫生行政部门提交职业病危害放射防护预评价报告，申请进行建设项目卫生审查。立体定向放射治疗、质子治疗、重离子治疗、带回旋加速器的正电子发射断层扫描诊断等放射诊疗建设项目，还应当提交卫生部指定的放射卫生技术机构出具的预评价报告技术审查意见。卫生行政部门应当自收到预评价报告之日起30日内，作出审核决定。经审核符合国家相关卫生标准和要求的，方可施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放射诊疗管理规定》《卫生行政许可管理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w:t>
            </w:r>
            <w:r>
              <w:rPr>
                <w:rFonts w:ascii="Times New Roman" w:hAnsi="Times New Roman" w:eastAsiaTheme="minorEastAsia"/>
                <w:szCs w:val="21"/>
              </w:rPr>
              <w:t>843</w:t>
            </w:r>
            <w:r>
              <w:rPr>
                <w:rFonts w:hint="eastAsia" w:ascii="Times New Roman" w:hAnsi="Times New Roman" w:eastAsiaTheme="minorEastAsia"/>
                <w:szCs w:val="21"/>
              </w:rPr>
              <w:t>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表2-93</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序号</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权力类型</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权力项目名称</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医疗机构放射性职业病危害建设项目竣工验收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职业病防治法》（国主席令第48号，2016年7月2日）第十八条：“建设项目的职业病防护设施所需费用应当纳入建设项目工程预算，并与主体工程同时设计，同时施工，同时投入生产和使用。建设项目的职业病防护设施设计应当符合国家职业卫生标准和卫生要求；其中，医疗机构放射性职业病危害严重的建设项目的防护设施设计，应当经卫生行政部门审查同意后，方可施工。建设项目在竣工验收前，建设单位应当进行职业病危害控制效果评价。医疗机构可能产生放射性职业病危害的建设项目竣工验收时，其放射性职业病防护设施经卫生行政部门验收合格后，方可投入使用；其他建设项目的职业病防护设施应当由建设单位负责依法组织验收，验收合格后，方可投入生产和使用。安全生产监督管理部门应当加强对建设单位组织的验收活动和验收结果的监督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2.《放射诊疗管理规定》（国家卫生和计划生育委员会令第8号，2016年1月19日）第十一条：“ 医疗机构设置放射诊疗项目，应当按照其开展的放射诊疗工作的类别，分别向相应的卫生行政部门提出建设项目卫生审查、竣工验收和设置放射诊疗项目申请:(一)开展放射治疗、核医学工作的，向省级卫生行政部门申请办理;(二)开展介入放射学工作的，向设区的市级卫生行政部门申请办理;(三)开展X射线影像诊断工作的，向县级卫生行政部门申请办理。同时开展不同类别放射诊疗工作的，向具有高类别审批权的卫生行政部门申请办理。” 第十三条：“医疗机构在放射诊疗建设项目竣工验收前，应当进行职业病危害控制效果评价;并向相应的卫生行政部门提交下列资料，申请进行卫生验收:(一)建设项目竣工卫生验收申请;(二)建设项目卫生审查资料;(三)职业病危害控制效果放射防护评价报告;(四)放射诊疗建设项目验收报告。立体定向放射治疗、质子治疗、重离子治疗、带回旋加速器的正电子发射断层扫描诊断等放射诊疗建设项目，应当提交卫生部指定的放射卫生技术机构出具的职业病危害控制效果评价报告技术审查意见和设备性能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责任主体</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1.受理责任：公示医疗机构放射性职业病危害建设项目竣工验收应当提交的材料，对书面申请材料进行形式审查，一次性告知补正材料，依法受理或不予受理（不予受理应当告知理由）。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2.审查责任：对医疗机构放射性职业病危害建设项目竣工验收书面申请材料和现场设置进行审查，提出审核意见。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3.决定责任：在规定时限内，对申请医疗机构放射性职业病危害建设项目竣工验收报告审核的作出行政许可或者不予行政许可决定，法定告知（不予许可的应当书面告知理由）。</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责任事项依据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 《放射诊疗管理规定》（国家卫生和计划生育委员会令第8号，2016年1月19日）第十三条 ：“ 医疗机构在放射诊疗建设项目竣工验收前，应当进行职业病危害控制效果评价;并向相应的卫生行政部门提交下列资料，申请进行卫生验收:(一)建设项目竣工卫生验收申请;(二)建设项目卫生审查资料;(三)职业病危害控制效果放射防护评价报告;(四)放射诊疗建设项目验收报告。立体定向放射治疗、质子治疗、重离子治疗、带回旋加速器的正电子发射断层扫描诊断等放射诊疗建设项目，应当提交卫生部指定的放射卫生技术机构出具的职业病危害控制效果评价报告技术审查意见和设备性能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追责情形</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放射诊疗管理规定》《卫生行政许可管理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rPr>
            </w:pPr>
            <w:r>
              <w:rPr>
                <w:rFonts w:ascii="Times New Roman" w:hAnsi="Times New Roman"/>
              </w:rPr>
              <w:t>监督电话</w:t>
            </w:r>
          </w:p>
        </w:tc>
        <w:tc>
          <w:tcPr>
            <w:tcW w:w="7582" w:type="dxa"/>
            <w:vAlign w:val="center"/>
          </w:tcPr>
          <w:p>
            <w:pPr>
              <w:spacing w:line="360" w:lineRule="exact"/>
              <w:ind w:firstLine="420" w:firstLineChars="200"/>
              <w:jc w:val="center"/>
              <w:rPr>
                <w:rFonts w:ascii="Times New Roman" w:hAnsi="Times New Roman" w:eastAsiaTheme="minorEastAsia"/>
                <w:szCs w:val="21"/>
              </w:rPr>
            </w:pPr>
            <w:r>
              <w:rPr>
                <w:rFonts w:ascii="Times New Roman" w:hAnsi="Times New Roman" w:eastAsiaTheme="minorEastAsia"/>
                <w:szCs w:val="21"/>
              </w:rPr>
              <w:t>028-</w:t>
            </w:r>
            <w:r>
              <w:rPr>
                <w:rFonts w:hint="eastAsia" w:ascii="Times New Roman" w:hAnsi="Times New Roman" w:eastAsiaTheme="minorEastAsia"/>
                <w:szCs w:val="21"/>
              </w:rPr>
              <w:t>84384493</w:t>
            </w:r>
          </w:p>
        </w:tc>
      </w:tr>
    </w:tbl>
    <w:p>
      <w:pPr>
        <w:spacing w:line="360" w:lineRule="exact"/>
        <w:rPr>
          <w:rFonts w:ascii="Times New Roman" w:hAnsi="Times New Roman" w:eastAsiaTheme="minorEastAsia"/>
          <w:szCs w:val="21"/>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表2-94</w:t>
      </w:r>
    </w:p>
    <w:tbl>
      <w:tblPr>
        <w:tblStyle w:val="11"/>
        <w:tblW w:w="8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6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序号</w:t>
            </w:r>
          </w:p>
        </w:tc>
        <w:tc>
          <w:tcPr>
            <w:tcW w:w="695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权力类型</w:t>
            </w:r>
          </w:p>
        </w:tc>
        <w:tc>
          <w:tcPr>
            <w:tcW w:w="695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权力项目名称</w:t>
            </w:r>
          </w:p>
        </w:tc>
        <w:tc>
          <w:tcPr>
            <w:tcW w:w="6950"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食品(含保健食品)经营许可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实施依据</w:t>
            </w:r>
          </w:p>
        </w:tc>
        <w:tc>
          <w:tcPr>
            <w:tcW w:w="695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1.《食品经营许可管理办法》（国家食品药品监督管理总局令第17号，自2015年10月1日起施行）</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第二条：在中华人民共和国境内，从事食品销售和餐饮服务活动，应当依法取得食品经营许可。</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食品经营许可的申请、受理、审查、决定及其监督检查，适用本办法。</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第六条：国家食品药品监督管理总局负责监督指导全国食品经营许可管理工作。县级以上地方食品药品监督管理部门负责本行政区域内的食品经营许可管理工作。省、自治区、直辖市食品药品监督管理部门可以根据食品类别和食品安全风险状况，确定市、县级食品药品监督管理部门的食品经营许可管理权限。</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2.《四川省食品经营许可管理实施办法》（川食药监发[2016]70号，自2016年6月1日起实施）第三章： 申请、受理、审查与决定：第十一条：申请食品经营许可，应当先行取得营业执照等合法主体资格。食品经营企业、个体工商户、农民专业合作社等，以营业执照载明的主体作为申请人。机关、事业单位、社会团体、民办非企业单位、企业等申办单位食堂，以机关或者事业单位法人登记证、社会团体登记证或者营业执照等载明的主体作为申请人。</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第十二条：申请食品经营许可，应当向申请人所在地的许可机关提交下列材料：</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（一）《食品经营许可证》申请书；</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（二）营业执照或者其他主体资格证明文件原件及其复印件；</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（三）与食品经营相适应的主要设备设施布局平面图或实景照片（不小于4寸，画面清晰可见）、操作流程等文件；</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（四）保证食品安全有关的规章制度清单。</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申请人委托他人办理食品经营许可申请的，代理人应当提交授权委托书以及代理人的身份证原件及其复印件。</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第十三条：申请人应当如实向许可机关提交有关材料和反映真实情况，对申请材料的真实性负责，并在申请书等材料上签名或者盖章。</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第十四条：许可机关对申请人提出的食品经营许可申请，应当根据下列情况分别作出处理：</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（一）申请事项依法不需要取得食品经营许可的，应当即时告知申请人不予受理；</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（二）申请事项依法不属于许可机关职权范围的，应当即时作出不予受理的决定，告知申请人向有关行政机关申请；</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（三）申请材料存在可以当场更正的错误，应当允许申请人当场更正。申请人应当在更正处签名或盖章，注明更正日期；</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四）申请材料不齐全或者不符合法定形式的，应当当场或者在5个工作日内一次性告知申请人需要补正的全部内容。当场告知的，应当将申请材料退回申请人；在5个工作日内告知的，应当收取申请材料并出具收到申请材料的凭据。逾期不告知的，自收到申请材料之日起即为受理；经补正的申请材料仍然不符合有关要求的，可以继续要求补正；</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（五）申请材料齐全、符合法定形式和要求，或者申请人按照要求提交全部补正申请材料的，应当受理食品经营许可申请。</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食品经营许可申请受理后至作出许可决定前，申请人书面要求撤回食品经营许可申请的，许可机关应当终止办理。</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第十五条：许可机关收到申请时，应当对申请事项是否需要许可，申请材料是否齐全、是否符合法定形式等进行形式审查。</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需要对申请材料的实质内容进行核实的，应当按照《四川省食品经营许可审查细则》（见附件1）的规定进行现场核查。核查时发现实际经营场所与其营业执照载明经营场所地址不符，应当要求申请人先办理营业执照变更登记。</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除现场核查销售和制售场所外，还应当核查申请人自有（含外设）或租赁的仓储场所。申请人设立或租赁仓库不在许可机关辖区的，由申请人填写《食品经营仓库异地核查表》（见附件2-8）一式二份，提请仓库所在地的许可机关予以现场核查，并将经过核查注明核查结论的《食品经营仓库异地核查表》提交发证许可机关。</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仅申请预包装食品销售（不含冷藏冷冻食品）的，申请变更或延续但不改变原核准的经营条件、设施和布局的，申请人变更时书面申明经营条件未发生变化的，可以不进行现场核查。</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第十六条：现场核查应当由2名以上核查人员进行。核查人员应当出示工作证、执法证等有效证件，填写《食品经营许可现场核查表》（见附件2-1、2、3、4、5、6、7），经申请人核对无误后，由核查人员和申请人在核查表上签名或者盖章。核查认定不符合许可条件的，经申请人当场整改和完善后符合要求的，应当认定符合。不能当场整改和完善的，待申请人整改完毕提出重新核查时，按照商定的时间进行核查。申请人拒绝签名或者盖章的，核查人员应当注明情况。</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核查人员应当自接受现场核查任务之日起10个工作日内，完成对经营场所的现场核查。情况复杂的核查可延长10个工作日。</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第十七条：许可机关应当自受理申请之日起20个工作日内作出是否准予行政许可的决定。因特殊原因需要延长期限的，经本行政机关负责人批准，可以延长10个工作日，并应当将延长期限的理由告知申请人。</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 xml:space="preserve">第十八条 </w:t>
            </w:r>
            <w:r>
              <w:rPr>
                <w:rFonts w:hint="eastAsia" w:ascii="Times New Roman" w:hAnsi="Times New Roman" w:cs="宋体" w:eastAsiaTheme="minorEastAsia"/>
                <w:szCs w:val="21"/>
              </w:rPr>
              <w:t> </w:t>
            </w:r>
            <w:r>
              <w:rPr>
                <w:rFonts w:hint="eastAsia" w:ascii="Times New Roman" w:hAnsi="Times New Roman" w:cs="方正仿宋简体" w:eastAsiaTheme="minorEastAsia"/>
                <w:szCs w:val="21"/>
              </w:rPr>
              <w:t>许可机关应当根据申请材料审查和现场核查等情况，对符合条件的，作出准予经营许可的决定，并自作出决定之日起10个工作日内向申请人颁发食品经营许可证；对不符合条件的，应当及时作出不予许可的书面决定并说明理由，同时告知申请人依法享有申请行政复议或者提起行政诉讼的权利。</w:t>
            </w:r>
          </w:p>
          <w:p>
            <w:pPr>
              <w:snapToGrid w:val="0"/>
              <w:spacing w:line="360" w:lineRule="exact"/>
              <w:ind w:firstLine="420" w:firstLineChars="200"/>
              <w:jc w:val="center"/>
              <w:rPr>
                <w:rFonts w:ascii="Times New Roman" w:hAnsi="Times New Roman" w:cs="方正仿宋简体"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责任主体</w:t>
            </w:r>
          </w:p>
        </w:tc>
        <w:tc>
          <w:tcPr>
            <w:tcW w:w="695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责任事项</w:t>
            </w:r>
          </w:p>
        </w:tc>
        <w:tc>
          <w:tcPr>
            <w:tcW w:w="695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2.审查责任：对书面申请材料进行审查，提出审核意见。</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3.决定责任：在规定时限内，作出行政许可或者不予行政许可决定，法定告知（不予许可的应当书面告知理由）。</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责任事项依据</w:t>
            </w:r>
          </w:p>
        </w:tc>
        <w:tc>
          <w:tcPr>
            <w:tcW w:w="695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 xml:space="preserve"> 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3. 《食品经营许可管理办法》第十八条：“县级以上地方食品药品监督管理部门应当根据申请材料审查和现场核查等情况，对符合条件的，作出准予经营许可的决定，并自作出决定之日起10 个工作日内向申请人颁发食品经营许可证;对不符合条件的，应当及时作出不予许可的书面决定并说明理由，同时告知申请人依法享有申请行政复议或者提起行政诉讼的权利。”</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4-1．《中华人民共和国行政许可法》第四十条：“行政机关作出准予行政许可的决定，应当予以公开，公众有权查阅。”</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4-2．《中华人民共和国行政许可法》第四十四条：“行政机关作出准予行政许可的决定，应当自作出决定之日起十日内向申请人颁发、送达行政许可证件，或者加贴标签、加盖检验、检测、检疫印章。”</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追责情形</w:t>
            </w:r>
          </w:p>
        </w:tc>
        <w:tc>
          <w:tcPr>
            <w:tcW w:w="695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食品经营许可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监督电话</w:t>
            </w:r>
          </w:p>
        </w:tc>
        <w:tc>
          <w:tcPr>
            <w:tcW w:w="6950"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028-84384493</w:t>
            </w:r>
          </w:p>
        </w:tc>
      </w:tr>
    </w:tbl>
    <w:p>
      <w:pPr>
        <w:spacing w:line="360" w:lineRule="exact"/>
        <w:rPr>
          <w:rFonts w:ascii="Times New Roman" w:hAnsi="Times New Roman" w:eastAsiaTheme="minorEastAsia"/>
          <w:szCs w:val="21"/>
        </w:rPr>
      </w:pPr>
    </w:p>
    <w:p>
      <w:pPr>
        <w:widowControl/>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表2-95</w:t>
      </w:r>
    </w:p>
    <w:tbl>
      <w:tblPr>
        <w:tblStyle w:val="11"/>
        <w:tblW w:w="865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6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序号</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Tahoma" w:eastAsiaTheme="minorEastAsia"/>
                <w:szCs w:val="21"/>
              </w:rPr>
            </w:pPr>
            <w:r>
              <w:rPr>
                <w:rFonts w:hint="eastAsia" w:ascii="Times New Roman" w:hAnsi="Times New Roman" w:cs="Tahoma" w:eastAsiaTheme="minorEastAsia"/>
                <w:szCs w:val="21"/>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权力类型</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cs="Tahoma" w:eastAsiaTheme="minorEastAsia"/>
                <w:szCs w:val="21"/>
              </w:rPr>
            </w:pPr>
            <w:r>
              <w:rPr>
                <w:rFonts w:hint="eastAsia" w:ascii="Times New Roman" w:hAnsi="Times New Roman" w:cs="Tahoma"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权力项目名称</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cs="Tahoma" w:eastAsiaTheme="minorEastAsia"/>
                <w:szCs w:val="21"/>
              </w:rPr>
            </w:pPr>
            <w:r>
              <w:rPr>
                <w:rFonts w:hint="eastAsia" w:ascii="Times New Roman" w:hAnsi="Times New Roman" w:cs="Tahoma" w:eastAsiaTheme="minorEastAsia"/>
                <w:szCs w:val="21"/>
              </w:rPr>
              <w:t>核发《药品经营许可证》（零售）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实施依据</w:t>
            </w:r>
          </w:p>
        </w:tc>
        <w:tc>
          <w:tcPr>
            <w:tcW w:w="6808" w:type="dxa"/>
            <w:tcBorders>
              <w:top w:val="single" w:color="auto" w:sz="4" w:space="0"/>
              <w:left w:val="single" w:color="auto" w:sz="4" w:space="0"/>
              <w:bottom w:val="single" w:color="auto" w:sz="4" w:space="0"/>
              <w:right w:val="single" w:color="auto" w:sz="4" w:space="0"/>
            </w:tcBorders>
            <w:vAlign w:val="center"/>
          </w:tcPr>
          <w:p>
            <w:pPr>
              <w:pStyle w:val="10"/>
              <w:shd w:val="clear" w:color="auto" w:fill="FFFFFF"/>
              <w:spacing w:before="0" w:beforeAutospacing="0" w:after="0" w:afterAutospacing="0" w:line="360" w:lineRule="exact"/>
              <w:ind w:firstLine="420" w:firstLineChars="200"/>
              <w:rPr>
                <w:rFonts w:ascii="Times New Roman" w:hAnsi="Times New Roman" w:cs="Tahoma" w:eastAsiaTheme="minorEastAsia"/>
                <w:kern w:val="2"/>
                <w:sz w:val="21"/>
                <w:szCs w:val="21"/>
              </w:rPr>
            </w:pPr>
            <w:r>
              <w:rPr>
                <w:rFonts w:hint="eastAsia" w:ascii="Times New Roman" w:hAnsi="Times New Roman" w:cs="Tahoma" w:eastAsiaTheme="minorEastAsia"/>
                <w:kern w:val="2"/>
                <w:sz w:val="21"/>
                <w:szCs w:val="21"/>
              </w:rPr>
              <w:t>1.《中华人民共和国药品管理法》（中华人民共和国主席令第45 号公布，2015 年4 月24 日第二次修正）第十五条：开办药品经营企业必须具备以下条件：</w:t>
            </w:r>
          </w:p>
          <w:p>
            <w:pPr>
              <w:pStyle w:val="10"/>
              <w:shd w:val="clear" w:color="auto" w:fill="FFFFFF"/>
              <w:spacing w:before="0" w:beforeAutospacing="0" w:after="0" w:afterAutospacing="0" w:line="360" w:lineRule="exact"/>
              <w:ind w:firstLine="420" w:firstLineChars="200"/>
              <w:rPr>
                <w:rFonts w:ascii="Times New Roman" w:hAnsi="Times New Roman" w:cs="Tahoma" w:eastAsiaTheme="minorEastAsia"/>
                <w:kern w:val="2"/>
                <w:sz w:val="21"/>
                <w:szCs w:val="21"/>
              </w:rPr>
            </w:pPr>
            <w:r>
              <w:rPr>
                <w:rFonts w:hint="eastAsia" w:ascii="Times New Roman" w:hAnsi="Times New Roman" w:cs="Tahoma" w:eastAsiaTheme="minorEastAsia"/>
                <w:kern w:val="2"/>
                <w:sz w:val="21"/>
                <w:szCs w:val="21"/>
              </w:rPr>
              <w:t>(一)具有依法经过资格认定的药学技术人员；</w:t>
            </w:r>
          </w:p>
          <w:p>
            <w:pPr>
              <w:pStyle w:val="10"/>
              <w:shd w:val="clear" w:color="auto" w:fill="FFFFFF"/>
              <w:spacing w:before="0" w:beforeAutospacing="0" w:after="0" w:afterAutospacing="0" w:line="360" w:lineRule="exact"/>
              <w:ind w:firstLine="420" w:firstLineChars="200"/>
              <w:rPr>
                <w:rFonts w:ascii="Times New Roman" w:hAnsi="Times New Roman" w:cs="Tahoma" w:eastAsiaTheme="minorEastAsia"/>
                <w:kern w:val="2"/>
                <w:sz w:val="21"/>
                <w:szCs w:val="21"/>
              </w:rPr>
            </w:pPr>
            <w:r>
              <w:rPr>
                <w:rFonts w:hint="eastAsia" w:ascii="Times New Roman" w:hAnsi="Times New Roman" w:cs="Tahoma" w:eastAsiaTheme="minorEastAsia"/>
                <w:kern w:val="2"/>
                <w:sz w:val="21"/>
                <w:szCs w:val="21"/>
              </w:rPr>
              <w:t>(二)具有与所经营药品相适应的营业场所、设备、仓储设施、卫生环境；</w:t>
            </w:r>
          </w:p>
          <w:p>
            <w:pPr>
              <w:pStyle w:val="10"/>
              <w:shd w:val="clear" w:color="auto" w:fill="FFFFFF"/>
              <w:spacing w:before="0" w:beforeAutospacing="0" w:after="0" w:afterAutospacing="0" w:line="360" w:lineRule="exact"/>
              <w:ind w:firstLine="420" w:firstLineChars="200"/>
              <w:rPr>
                <w:rFonts w:ascii="Times New Roman" w:hAnsi="Times New Roman" w:cs="Tahoma" w:eastAsiaTheme="minorEastAsia"/>
                <w:kern w:val="2"/>
                <w:sz w:val="21"/>
                <w:szCs w:val="21"/>
              </w:rPr>
            </w:pPr>
            <w:r>
              <w:rPr>
                <w:rFonts w:hint="eastAsia" w:ascii="Times New Roman" w:hAnsi="Times New Roman" w:cs="Tahoma" w:eastAsiaTheme="minorEastAsia"/>
                <w:kern w:val="2"/>
                <w:sz w:val="21"/>
                <w:szCs w:val="21"/>
              </w:rPr>
              <w:t>(三)具有与所经营药品相适应的质量管理机构或者人员；</w:t>
            </w:r>
          </w:p>
          <w:p>
            <w:pPr>
              <w:pStyle w:val="10"/>
              <w:shd w:val="clear" w:color="auto" w:fill="FFFFFF"/>
              <w:spacing w:before="0" w:beforeAutospacing="0" w:after="0" w:afterAutospacing="0" w:line="360" w:lineRule="exact"/>
              <w:ind w:firstLine="420" w:firstLineChars="200"/>
              <w:rPr>
                <w:rFonts w:ascii="Times New Roman" w:hAnsi="Times New Roman" w:cs="Tahoma" w:eastAsiaTheme="minorEastAsia"/>
                <w:kern w:val="2"/>
                <w:sz w:val="21"/>
                <w:szCs w:val="21"/>
              </w:rPr>
            </w:pPr>
            <w:r>
              <w:rPr>
                <w:rFonts w:hint="eastAsia" w:ascii="Times New Roman" w:hAnsi="Times New Roman" w:cs="Tahoma" w:eastAsiaTheme="minorEastAsia"/>
                <w:kern w:val="2"/>
                <w:sz w:val="21"/>
                <w:szCs w:val="21"/>
              </w:rPr>
              <w:t>(四)具有保证所经营药品质量的规章制度</w:t>
            </w:r>
          </w:p>
          <w:p>
            <w:pPr>
              <w:spacing w:line="360" w:lineRule="exact"/>
              <w:ind w:firstLine="420" w:firstLineChars="200"/>
              <w:jc w:val="left"/>
              <w:rPr>
                <w:rFonts w:ascii="Times New Roman" w:hAnsi="Times New Roman" w:cs="Tahoma" w:eastAsiaTheme="minorEastAsia"/>
                <w:szCs w:val="21"/>
              </w:rPr>
            </w:pPr>
            <w:r>
              <w:rPr>
                <w:rFonts w:hint="eastAsia" w:ascii="Times New Roman" w:hAnsi="Times New Roman" w:cs="Tahoma" w:eastAsiaTheme="minorEastAsia"/>
                <w:szCs w:val="21"/>
              </w:rPr>
              <w:t>2.《中华人民共和国药品管理法实施条例》（2002年9月15日施行）第12条：开办药品零售企业，申办人应当向拟办企业所在地设区的市级药品监督管理机构或者省、自治区、直辖市人民政府药品监督管理部门直接设置的县级药品监督管理机构提出申请。受理申请的药品监督管理机构应当自收到申请之日起30个工作日内，依据国务院药品监督管理部门的规定，结合当地常住人口数量、地域、交通状况和实际需要进行审查，作出是否同意筹建的决定。申办人完成拟办企业筹建后，应当向原审批机构申请验收。原审批机构应当自收到申请之日起15个工作日内，依据《药品管理法》第十五条规定的开办条件组织验收；符合条件的，发给《药品经营许可证》。申办人凭《药品经营许可证》到工商行政管理部门依法办理登记注册。</w:t>
            </w:r>
          </w:p>
          <w:p>
            <w:pPr>
              <w:spacing w:line="360" w:lineRule="exact"/>
              <w:ind w:firstLine="420" w:firstLineChars="200"/>
              <w:jc w:val="left"/>
              <w:rPr>
                <w:rFonts w:ascii="Times New Roman" w:hAnsi="Times New Roman" w:cs="Tahoma" w:eastAsiaTheme="minorEastAsia"/>
                <w:szCs w:val="21"/>
              </w:rPr>
            </w:pPr>
            <w:r>
              <w:rPr>
                <w:rFonts w:hint="eastAsia" w:ascii="Times New Roman" w:hAnsi="Times New Roman" w:cs="Tahoma" w:eastAsiaTheme="minorEastAsia"/>
                <w:szCs w:val="21"/>
              </w:rPr>
              <w:t>3.《药品经营许可证管理办法》（2004年4月1日施行）（局令第6号）第九条：开办药品零售企业按照以下程序办理《药品经营许可证》:(一)申办人向拟办企业所在地设区的市级(食品)药品监督管理机构或省、自治区、直辖市(食品)药品监督管理部门直接设置的县级(食品)药品监督管理机构提出筹建申请,并提交以下材料:</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1.拟办企业法定代表人、企业负责人、质量负责人的学历、执业资格或职称证明原件、复印件及个人简历及专业技术人员资格证书、聘书;</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2.拟经营药品的范围;</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3.拟设营业场所、仓储设施、设备情况。</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(二)(食品)药品监督管理机构对申办人提出的申请,应当根据下列情况分别作出处理:</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1.申请事项不属于本部门职权范围的,应当即时作出不予受理的决定,发给《不予受理通知书》,并告知申办人向有关(食品)药品监督管理部门申请;</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2.申请材料存在可以当场更正的错误的,应当允许申办人当场更正;</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3.申请材料不齐或者不符合法定形式的,应当当场或者在5日内发给申办人《补正材料通知书》,一次性告知需要补正的全部内容。逾期不告知的,自收到申请材料之日起即为受理;</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4.申请事项属于本部门职权范围,材料齐全、符合法定形式,或者申办人按要求提交全部补正材料的,发给申办人《受理通知书》。《受理通知书》中注明的日期为受理日期。</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三)(食品)药品监督管理机构自受理申请之日起30个工作日内,依据本办法第五条规定对申报材料进行审查,作出是否同意筹建的决定,并书面通知申办人。不同意筹建的,应当说明理由,并告知申办人依法享有申请行政复议或者提起行政诉讼的权利。</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四)申办人完成筹建后,向受理申请的(食品)药品监督管理机构提出验收申请,并提交以下材料:1.药品经营许可证申请表;2.工商行政管理部门出具的拟办企业核准证明文件;3.营业场所、仓库平面布置图及房屋产权或使用权证明;4.依法经过资格认定的药学专业技术人员资格证书及聘书;5.拟办企业质量管理文件及主要设施、设备目录。</w:t>
            </w:r>
            <w:r>
              <w:rPr>
                <w:rFonts w:hint="eastAsia" w:ascii="Times New Roman" w:hAnsi="Times New Roman" w:cs="Tahoma" w:eastAsiaTheme="minorEastAsia"/>
                <w:szCs w:val="21"/>
              </w:rPr>
              <w:br w:type="textWrapping"/>
            </w:r>
            <w:r>
              <w:rPr>
                <w:rFonts w:hint="eastAsia" w:ascii="Times New Roman" w:hAnsi="Times New Roman" w:cs="Tahoma" w:eastAsiaTheme="minorEastAsia"/>
                <w:szCs w:val="21"/>
              </w:rPr>
              <w:t>(五)受理申请的(食品)药品监督管理机构在收到验收申请之日起15个工作日内,依据开办药品零售企业验收实施标准组织验收,作出是否发给《药品经营许可证》的决定。不符合条件的,应当书面通知申办人并说明理由,同时,告知申办人享有依法申请行政复议或提起行政诉讼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责任主体</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责任事项</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2.审查责任：对书面申请材料进行审查，提出审核意见。</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3.决定责任：在规定时限内，作出行政许可或者不予行政许可决定，法定告知（不予许可的应当书面告知理由）。</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责任事项依据</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eastAsiaTheme="minorEastAsia"/>
                <w:szCs w:val="21"/>
                <w:shd w:val="clear" w:color="auto" w:fill="FFFFFF"/>
              </w:rPr>
            </w:pPr>
            <w:r>
              <w:rPr>
                <w:rFonts w:hint="eastAsia" w:ascii="Times New Roman" w:hAnsi="Times New Roman" w:cs="方正仿宋简体" w:eastAsiaTheme="minorEastAsia"/>
                <w:szCs w:val="21"/>
              </w:rPr>
              <w:t>3.</w:t>
            </w:r>
            <w:r>
              <w:rPr>
                <w:rFonts w:hint="eastAsia" w:ascii="Times New Roman" w:hAnsi="Times New Roman" w:eastAsiaTheme="minorEastAsia"/>
                <w:szCs w:val="21"/>
                <w:shd w:val="clear" w:color="auto" w:fill="FFFFFF"/>
              </w:rPr>
              <w:t xml:space="preserve"> 《药品经营许可管理办法》第九条：(五)受理申请的(食品)药品监督管理机构在收到验收申请之日起15个工作日内,依据开办药品零售企业验收实施标准组织验收,作出是否发给《药品经营许可证》的决定。不符合条件的,应当书面通知申办人并说明理由,同时,告知申办人享有依法申请行政复议或提起行政诉讼的权利。</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eastAsiaTheme="minorEastAsia"/>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追责情形</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中华人民共和国药品管理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监督电话</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028-84384493</w:t>
            </w:r>
          </w:p>
        </w:tc>
      </w:tr>
    </w:tbl>
    <w:p>
      <w:pPr>
        <w:widowControl/>
        <w:spacing w:line="360" w:lineRule="exact"/>
        <w:ind w:firstLine="640" w:firstLineChars="200"/>
        <w:jc w:val="left"/>
        <w:rPr>
          <w:rFonts w:ascii="Times New Roman" w:hAnsi="Times New Roman" w:eastAsia="方正黑体简体"/>
          <w:sz w:val="32"/>
          <w:szCs w:val="32"/>
        </w:rPr>
      </w:pPr>
    </w:p>
    <w:p>
      <w:pPr>
        <w:widowControl/>
        <w:spacing w:line="360" w:lineRule="exact"/>
        <w:ind w:firstLine="640" w:firstLineChars="200"/>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表2-96</w:t>
      </w:r>
    </w:p>
    <w:tbl>
      <w:tblPr>
        <w:tblStyle w:val="11"/>
        <w:tblW w:w="865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6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序号</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权力类型</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权力项目名称</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医疗用毒性药品购用审批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06"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实施依据</w:t>
            </w:r>
          </w:p>
        </w:tc>
        <w:tc>
          <w:tcPr>
            <w:tcW w:w="6808" w:type="dxa"/>
            <w:tcBorders>
              <w:top w:val="single" w:color="auto" w:sz="4" w:space="0"/>
              <w:left w:val="single" w:color="auto" w:sz="4" w:space="0"/>
              <w:bottom w:val="single" w:color="auto" w:sz="4" w:space="0"/>
              <w:right w:val="single" w:color="auto" w:sz="4" w:space="0"/>
            </w:tcBorders>
            <w:vAlign w:val="center"/>
          </w:tcPr>
          <w:p>
            <w:pPr>
              <w:pStyle w:val="10"/>
              <w:shd w:val="clear" w:color="auto" w:fill="FFFFFF"/>
              <w:spacing w:before="0" w:beforeAutospacing="0" w:after="225" w:afterAutospacing="0" w:line="360" w:lineRule="exact"/>
              <w:ind w:firstLine="420" w:firstLineChars="200"/>
              <w:rPr>
                <w:rFonts w:ascii="Times New Roman" w:hAnsi="Times New Roman" w:cs="Arial" w:eastAsiaTheme="minorEastAsia"/>
                <w:sz w:val="21"/>
                <w:szCs w:val="21"/>
              </w:rPr>
            </w:pPr>
            <w:r>
              <w:rPr>
                <w:rFonts w:hint="eastAsia" w:ascii="Times New Roman" w:hAnsi="Times New Roman" w:cs="方正仿宋简体" w:eastAsiaTheme="minorEastAsia"/>
                <w:sz w:val="21"/>
                <w:szCs w:val="21"/>
              </w:rPr>
              <w:t>《医疗用毒性药品管理办法》第十条：</w:t>
            </w:r>
            <w:r>
              <w:rPr>
                <w:rFonts w:hint="eastAsia" w:ascii="Times New Roman" w:hAnsi="Times New Roman" w:cs="Arial" w:eastAsiaTheme="minorEastAsia"/>
                <w:sz w:val="21"/>
                <w:szCs w:val="21"/>
              </w:rPr>
              <w:t>科研和教学单位所需的毒性药品，必须持本单位的证明信，经单位所在地县以上卫生行政部门批准后，供应部门方能发售。群众自配民间单、秘、验方需用毒性中药，购买时要持有本单位或者城市街道办事处、乡(镇)人民政府的证明信，供应部门方可发售。每次购用量不得超过2日极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责任主体</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责任事项</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2.审查责任：对书面申请材料进行审查，提出审核意见。</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3.决定责任：在规定时限内，作出行政许可或者不予行政许可决定，法定告知（不予许可的应当书面告知理由）。</w:t>
            </w:r>
          </w:p>
          <w:p>
            <w:pPr>
              <w:snapToGrid w:val="0"/>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责任事项依据</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 xml:space="preserve"> 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pStyle w:val="10"/>
              <w:shd w:val="clear" w:color="auto" w:fill="FFFFFF"/>
              <w:spacing w:before="0" w:beforeAutospacing="0" w:after="225" w:afterAutospacing="0" w:line="360" w:lineRule="exact"/>
              <w:ind w:firstLine="420" w:firstLineChars="200"/>
              <w:rPr>
                <w:rFonts w:ascii="Times New Roman" w:hAnsi="Times New Roman" w:cs="Arial" w:eastAsiaTheme="minorEastAsia"/>
                <w:sz w:val="21"/>
                <w:szCs w:val="21"/>
              </w:rPr>
            </w:pPr>
            <w:r>
              <w:rPr>
                <w:rFonts w:hint="eastAsia" w:ascii="Times New Roman" w:hAnsi="Times New Roman" w:cs="方正仿宋简体" w:eastAsiaTheme="minorEastAsia"/>
                <w:sz w:val="21"/>
                <w:szCs w:val="21"/>
              </w:rPr>
              <w:t>3.</w:t>
            </w:r>
            <w:r>
              <w:rPr>
                <w:rFonts w:hint="eastAsia" w:ascii="Times New Roman" w:hAnsi="Times New Roman" w:cs="Arial" w:eastAsiaTheme="minorEastAsia"/>
                <w:sz w:val="21"/>
                <w:szCs w:val="21"/>
              </w:rPr>
              <w:t xml:space="preserve"> 《医疗用毒性用品管理办法》第十一条：对违反本办法的规定，擅自生产、收购、经营毒性药品的单位或者个人，由县以上卫生行政部门没收其全部毒性药品，并处以警告或按非法所得的5至10倍罚款。情节严重、致人伤残或死亡，构成犯罪的，由司法机关依法追究其刑事责任。</w:t>
            </w:r>
          </w:p>
          <w:p>
            <w:pPr>
              <w:pStyle w:val="10"/>
              <w:shd w:val="clear" w:color="auto" w:fill="FFFFFF"/>
              <w:spacing w:before="0" w:beforeAutospacing="0" w:after="225" w:afterAutospacing="0" w:line="360" w:lineRule="exact"/>
              <w:ind w:firstLine="420" w:firstLineChars="200"/>
              <w:rPr>
                <w:rFonts w:ascii="Times New Roman" w:hAnsi="Times New Roman" w:cs="Arial" w:eastAsiaTheme="minorEastAsia"/>
                <w:sz w:val="21"/>
                <w:szCs w:val="21"/>
              </w:rPr>
            </w:pPr>
            <w:r>
              <w:rPr>
                <w:rFonts w:hint="eastAsia" w:ascii="Times New Roman" w:hAnsi="Times New Roman" w:cs="Arial" w:eastAsiaTheme="minorEastAsia"/>
                <w:sz w:val="21"/>
                <w:szCs w:val="21"/>
              </w:rPr>
              <w:t>第十二条：当事人对处罚不服的，可在接到处罚通知之日起15日内，向作出处理的机关的上级机关申请复议。但申请复议期间仍应执行原处罚决定。上级机关应在接到申请之日起10日内作出答复。对答复不服的，可在接到答复之日起15日内，向人民法院起诉。</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eastAsiaTheme="minorEastAsia"/>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追责情形</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rPr>
                <w:rFonts w:ascii="Times New Roman" w:hAnsi="Times New Roman" w:cs="方正仿宋简体" w:eastAsiaTheme="minorEastAsia"/>
                <w:szCs w:val="21"/>
              </w:rPr>
            </w:pPr>
            <w:r>
              <w:rPr>
                <w:rFonts w:hint="eastAsia" w:ascii="Times New Roman" w:hAnsi="Times New Roman" w:cs="方正仿宋简体" w:eastAsiaTheme="minorEastAsia"/>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中华人民共和国药品管理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rPr>
            </w:pPr>
            <w:r>
              <w:rPr>
                <w:rFonts w:hint="eastAsia" w:ascii="Times New Roman" w:hAnsi="Times New Roman"/>
              </w:rPr>
              <w:t>监督电话</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028-84384493</w:t>
            </w:r>
          </w:p>
        </w:tc>
      </w:tr>
    </w:tbl>
    <w:p>
      <w:pPr>
        <w:spacing w:line="360" w:lineRule="exact"/>
        <w:ind w:firstLine="640" w:firstLineChars="200"/>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kern w:val="0"/>
          <w:sz w:val="32"/>
          <w:szCs w:val="32"/>
        </w:rPr>
      </w:pPr>
      <w:r>
        <w:rPr>
          <w:rFonts w:ascii="Times New Roman" w:hAnsi="Times New Roman" w:eastAsia="方正黑体简体"/>
          <w:kern w:val="0"/>
          <w:sz w:val="32"/>
          <w:szCs w:val="32"/>
        </w:rPr>
        <w:br w:type="page"/>
      </w:r>
    </w:p>
    <w:p>
      <w:pPr>
        <w:pStyle w:val="3"/>
        <w:spacing w:line="360" w:lineRule="exact"/>
        <w:rPr>
          <w:rFonts w:ascii="Times New Roman" w:hAnsi="Times New Roman"/>
          <w:sz w:val="24"/>
        </w:rPr>
      </w:pPr>
      <w:r>
        <w:rPr>
          <w:rFonts w:hint="eastAsia" w:ascii="Times New Roman" w:hAnsi="Times New Roman"/>
        </w:rPr>
        <w:t>表2-97</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举办健身气功活动及设立站点审批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中华人民共和国体育法》(1995年8月29日第八届全国人民代表大会常务委员会第十五次会议通过；根据2009年8月27日第十一届全国人民代表大会常务委员会第十次会议《关于修改部分法律的决定》修正）第十条：“国家提倡公民参加社会体育活动，增进身心健康。社会体育活动应当坚持业余、自愿、小型多样，遵循因地制宜和科学文明的原则。”第十二条：“地方各级人民政府应当为公民参加社会体育活动创造必要的条件，支持、扶助群众性体育活动的开展。城市应当发挥居民委员会等社区基层组织的作用，组织居民开展体育活动。农村应当发挥村民委员会、基层文化体育组织的作用，开展适合农村特点的体育活动。”第十五条：“国家鼓励、支持民族、民间传统体育项目的发掘、整理和提高。”</w:t>
            </w:r>
          </w:p>
          <w:p>
            <w:pPr>
              <w:spacing w:line="360" w:lineRule="exact"/>
              <w:ind w:firstLine="420" w:firstLineChars="200"/>
              <w:rPr>
                <w:rFonts w:ascii="Times New Roman" w:hAnsi="Times New Roman"/>
                <w:szCs w:val="21"/>
              </w:rPr>
            </w:pPr>
            <w:r>
              <w:rPr>
                <w:rFonts w:hint="eastAsia" w:ascii="Times New Roman" w:hAnsi="Times New Roman"/>
                <w:szCs w:val="21"/>
              </w:rPr>
              <w:t>2.《健身气功管理办法》（2006年，国家体育总局颁布）第三条：“本办法所称健身气功，是以增进身心健康为目的，以自身形体活动、呼吸吐纳、心理调节相结合为主要运动形式的民族传统体育项目，是中华悠久文化的组成部分。”第五条：“</w:t>
            </w:r>
            <w:r>
              <w:rPr>
                <w:rFonts w:hint="eastAsia" w:ascii="Times New Roman" w:hAnsi="Times New Roman" w:cs="宋体"/>
                <w:kern w:val="0"/>
                <w:szCs w:val="21"/>
              </w:rPr>
              <w:t>举办健身气功活动或设立健身气功站点，应当获得体育行政部门的批准</w:t>
            </w:r>
            <w:r>
              <w:rPr>
                <w:rFonts w:ascii="Times New Roman" w:hAnsi="Times New Roman" w:cs="宋体"/>
                <w:kern w:val="0"/>
                <w:szCs w:val="21"/>
              </w:rPr>
              <w:t>。</w:t>
            </w:r>
            <w:r>
              <w:rPr>
                <w:rFonts w:hint="eastAsia" w:ascii="Times New Roman" w:hAnsi="Times New Roman" w:cs="宋体"/>
                <w:kern w:val="0"/>
                <w:szCs w:val="21"/>
              </w:rPr>
              <w:t>体育行政部门收到举办健身气功活动或设立健身气功站点的申请后，应当于二十个工作日内做出批准或不批准的决定，并书面通知申请人。二十个工作日内不能做出决定的，经体育行政部门负责人批准，可以延长十个工作日，并将延长期限的理由告知申请人</w:t>
            </w:r>
            <w:r>
              <w:rPr>
                <w:rFonts w:ascii="Times New Roman" w:hAnsi="Times New Roman" w:cs="宋体"/>
                <w:kern w:val="0"/>
                <w:szCs w:val="21"/>
              </w:rPr>
              <w:t>。</w:t>
            </w:r>
            <w:r>
              <w:rPr>
                <w:rFonts w:hint="eastAsia" w:ascii="Times New Roman" w:hAns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4.送达责任：在规定期限内向申请人送达行政许可证件；建立信息档案；公开有关信息。</w:t>
            </w:r>
          </w:p>
          <w:p>
            <w:pPr>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Style w:val="14"/>
                <w:rFonts w:hint="eastAsia" w:ascii="Times New Roman" w:hAnsi="Times New Roman"/>
                <w:b w:val="0"/>
                <w:szCs w:val="21"/>
              </w:rPr>
              <w:t>第三十二条</w:t>
            </w:r>
            <w:r>
              <w:rPr>
                <w:rFonts w:hint="eastAsia" w:ascii="Times New Roman" w:hAnsi="Times New Roman"/>
                <w:szCs w:val="21"/>
              </w:rPr>
              <w:t>：“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1-2.《健身气功管理办法》（2006年，国家体育总局颁布）第五条：“</w:t>
            </w:r>
            <w:r>
              <w:rPr>
                <w:rFonts w:hint="eastAsia" w:ascii="Times New Roman" w:hAnsi="Times New Roman" w:cs="宋体"/>
                <w:kern w:val="0"/>
                <w:szCs w:val="21"/>
              </w:rPr>
              <w:t>举办健身气功活动或设立健身气功站点，应当获得体育行政部门的批准。体育行政部门收到举办健身气功活动或设立健身气功站点的申请后，应当于二十个工作日内做出批准或不批准的决定，并书面通知申请人。二十个工作日内不能做出决定的，经体育行政部门负责人批准，可以延长十个工作日，并将延长期限的理由告知申请人。</w:t>
            </w:r>
            <w:r>
              <w:rPr>
                <w:rFonts w:hint="eastAsia" w:ascii="Times New Roman" w:hAnsi="Times New Roman"/>
                <w:szCs w:val="21"/>
              </w:rPr>
              <w:t>”第十一条：“举办健身气功业务培训、交流展示、功法讲座等活动，实行属地管理。举办全国性、跨省（区、市）的健身气功活动，经国家体育总局批准。省（区、市）内举办的健身气功活动，经具有相应管辖权限的体育行政部门批准；跨地区的健身气功活动，经所跨地区共同的上一级体育行政部门批准。参加人数在二百人以上的健身气功活动，除报体育行政部门审核批准外，还应当按照《群众性文化体育活动治安管理办法》的规定经公安机关许可。”第十二条：“申请举办健身气功活动，应当具备下列条件：（一）由具有合法身份的公民、法人或其他组织提出；（二）所涉及的功法，必须是国家体育总局审定批准的健身气功功法；（三）有与所开展活动相适应的场所；（四）有必要的资金和符合标准的设施、器材；（五）有社会体育指导员和管理人员；（六）有活动所在场所管理者同意使用的证明；（七）有相应的安全措施和卫生条件；（八）法律法规规定的其他条件。”第十三条：“申请举办健身气功活动，应当提前三十个工作日报送下列材料：（一）申请书；（二）活动方案（内容包括：举办者姓名、住址或名称、地址；功法名称；活动时间、地点、人数；社会体育指导员和管理人员情况等）；（三）举办者合法的身份证明；（四）活动场地管理者同意使用的证明；（五）社会体育指导员和管理人员的资格证明。”第十七条：“设立健身气功站点，应当经当地街道办事处、乡镇级人民政府或企事业单位有关部门审核同意，报当地具有相应管辖权限的体育行政部门审批。”第十八条：“申请设立健身气功站点，应当具备下列条件：（一）小型、分散、就地、就近、自愿；（二）布局合理，方便群众，便于管理；（三）不妨碍社会治安、交通和生产、生活秩序；（四）习练的功法为国家体育总局审定批准的健身气功功法；（五）负责人具有合法身份；（六）有社会体育指导员；（七）活动场所、活动时间相对固定。”第十九条：“申请设立健身气功站点，应当报送下列材料：（一）申请书；（二）习练的健身气功功法名称；（三）负责人的合法身份证明；（四）社会体育指导员的资格证明；（五）活动场地管理者同意使用的证明。”</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2-2.同1-2.《健身气功管理办法》（2006年，国家体育总局颁布）第五条、第十一条、第十七条</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-3．《健身气功管理办法》（2006年，国家体育总局颁布）第五条：“举办健身气功活动或设立健身气功站点，应当获得体育行政部门的批准。体育行政部门收到举办健身气功活动或设立健身气功站点的申请后，应当于二十个工作日内做出批准或不批准的决定，并书面通知申请人。二十个工作日内不能做出决定的，经体育行政部门负责人批准，可以延长十个工作日，并将延长期限的理由告知申请人。”第二十条：“批准设立健身气功站点的体育行政部门向获得批准的站点颁发证书，并组织年检。”</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w:t>
            </w:r>
            <w:r>
              <w:rPr>
                <w:rFonts w:hint="eastAsia" w:ascii="Times New Roman" w:hAnsi="Times New Roman"/>
                <w:bCs/>
                <w:szCs w:val="21"/>
              </w:rPr>
              <w:t>第五条</w:t>
            </w:r>
            <w:r>
              <w:rPr>
                <w:rFonts w:hint="eastAsia" w:ascii="Times New Roman" w:hAnsi="Times New Roman"/>
                <w:szCs w:val="21"/>
              </w:rPr>
              <w:t>：“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szCs w:val="21"/>
              </w:rPr>
              <w:t>《中华人民共和国体育法》、</w:t>
            </w:r>
            <w:r>
              <w:rPr>
                <w:rFonts w:ascii="Times New Roman" w:hAnsi="Times New Roman"/>
                <w:szCs w:val="21"/>
              </w:rPr>
              <w:t>《行政机关公务员处分条例》、</w:t>
            </w:r>
            <w:r>
              <w:rPr>
                <w:rFonts w:hint="eastAsia" w:ascii="Times New Roman" w:hAnsi="Times New Roman"/>
                <w:szCs w:val="21"/>
              </w:rPr>
              <w:t>《健身气功管理办法》、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表2-98</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经营高危险性体育项目许可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中华人民共和国体育法》(1995年8月29日第八届全国人民代表大会常务委员会第十五次会议通过；根据2009年8月27日第十一届全国人民代表大会常务委员会第十次会议《关于修改部分法律的决定》修正）第四十四条：“县级以上各级人民政府体育行政部门对以健身、竞技等体育活动为内容的经营活动，应当按照国家有关规定加强管理和监督。”</w:t>
            </w:r>
          </w:p>
          <w:p>
            <w:pPr>
              <w:spacing w:line="360" w:lineRule="exact"/>
              <w:ind w:firstLine="420" w:firstLineChars="200"/>
              <w:rPr>
                <w:rFonts w:ascii="Times New Roman" w:hAnsi="Times New Roman"/>
                <w:szCs w:val="21"/>
              </w:rPr>
            </w:pPr>
            <w:r>
              <w:rPr>
                <w:rFonts w:hint="eastAsia" w:ascii="Times New Roman" w:hAnsi="Times New Roman"/>
                <w:szCs w:val="21"/>
              </w:rPr>
              <w:t>2.《全民健身条例》（2009年8月30日国务院令第560号，</w:t>
            </w:r>
            <w:r>
              <w:rPr>
                <w:rFonts w:ascii="Times New Roman" w:hAnsi="Times New Roman"/>
                <w:szCs w:val="21"/>
              </w:rPr>
              <w:t>根据2013年7月18日国务院令第638号修订</w:t>
            </w:r>
            <w:r>
              <w:rPr>
                <w:rFonts w:hint="eastAsia" w:ascii="Times New Roman" w:hAnsi="Times New Roman"/>
                <w:szCs w:val="21"/>
              </w:rPr>
              <w:t>，根据2016年2月6日国务院令第666号修订）第三十二条：“企业、个体工商户经营高危险性体育项目的，应当符合下列条件，并向县级以上地方人民政府体育主管部门提出申请：（一）相关体育设施符合国家标准；（二）具有达到规定数量的取得国家职业资格证书的社会体育指导人员和救助人员；（三）具有相应的安全保障制度和措施。县级以上地方人民政府体育主管部门应当自收到申请之日起30日内进行实地核查，做出批准或者不予批准的决定。批准的，应当发给许可证；不予批准的，应当书面通知申请人并说明理由。国务院体育主管部门应当会同有关部门制定、调整高危险性体育项目目录，经国务院批准后予以公布。”</w:t>
            </w:r>
          </w:p>
          <w:p>
            <w:pPr>
              <w:spacing w:line="360" w:lineRule="exact"/>
              <w:ind w:firstLine="420" w:firstLineChars="200"/>
              <w:rPr>
                <w:rFonts w:ascii="Times New Roman" w:hAnsi="Times New Roman"/>
                <w:szCs w:val="21"/>
              </w:rPr>
            </w:pPr>
            <w:r>
              <w:rPr>
                <w:rFonts w:hint="eastAsia" w:ascii="Times New Roman" w:hAnsi="Times New Roman"/>
                <w:szCs w:val="21"/>
              </w:rPr>
              <w:t>3、《</w:t>
            </w:r>
            <w:r>
              <w:rPr>
                <w:rFonts w:hint="eastAsia" w:ascii="Times New Roman" w:hAnsi="Times New Roman"/>
                <w:bCs/>
                <w:szCs w:val="21"/>
              </w:rPr>
              <w:t>经营高危险性体育项目许可管理办法</w:t>
            </w:r>
            <w:r>
              <w:rPr>
                <w:rFonts w:hint="eastAsia" w:ascii="Times New Roman" w:hAnsi="Times New Roman"/>
                <w:szCs w:val="21"/>
              </w:rPr>
              <w:t>》（2013年，国家体育总局令第17号）</w:t>
            </w:r>
            <w:r>
              <w:rPr>
                <w:rFonts w:hint="eastAsia" w:ascii="Times New Roman" w:hAnsi="Times New Roman"/>
                <w:bCs/>
                <w:szCs w:val="21"/>
              </w:rPr>
              <w:t>第三条</w:t>
            </w:r>
            <w:r>
              <w:rPr>
                <w:rFonts w:hint="eastAsia" w:ascii="Times New Roman" w:hAnsi="Times New Roman"/>
                <w:szCs w:val="21"/>
              </w:rPr>
              <w:t>：“经营高危险性体育项目实施行政许可。”第五条：“县级以上地方人民政府体育主管部门负责本行政区域的经营高危险性体育项目行政许可工作。”第八条：“经营高危险性体育项目，应当向县级以上地方人民政府体育主管部门申请行政许可。”第九条：“县级以上地方人民政府体育主管部门应当自收到申请之日起30日内进行实地核查，做出批准或者不予批准的决定。批准的，应当发给许可证；不予批准的，应当书面通知申请人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Style w:val="14"/>
                <w:rFonts w:hint="eastAsia" w:ascii="Times New Roman" w:hAnsi="Times New Roman"/>
                <w:b w:val="0"/>
                <w:szCs w:val="21"/>
              </w:rPr>
              <w:t>第三十二条</w:t>
            </w:r>
            <w:r>
              <w:rPr>
                <w:rFonts w:hint="eastAsia" w:ascii="Times New Roman" w:hAnsi="Times New Roman"/>
                <w:szCs w:val="21"/>
              </w:rPr>
              <w:t>：“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rPr>
                <w:rFonts w:ascii="Times New Roman" w:hAnsi="Times New Roman"/>
                <w:szCs w:val="21"/>
              </w:rPr>
            </w:pPr>
            <w:r>
              <w:rPr>
                <w:rFonts w:hint="eastAsia" w:ascii="Times New Roman" w:hAnsi="Times New Roman"/>
                <w:szCs w:val="21"/>
              </w:rPr>
              <w:t>1-2．《全民健身条例》（2009年8月30日国务院令第560号，</w:t>
            </w:r>
            <w:r>
              <w:rPr>
                <w:rFonts w:ascii="Times New Roman" w:hAnsi="Times New Roman"/>
                <w:szCs w:val="21"/>
              </w:rPr>
              <w:t>根据2013年7月18日国务院令第638号修订</w:t>
            </w:r>
            <w:r>
              <w:rPr>
                <w:rFonts w:hint="eastAsia" w:ascii="Times New Roman" w:hAnsi="Times New Roman"/>
                <w:szCs w:val="21"/>
              </w:rPr>
              <w:t>，根据2016年2月6日国务院令第666号修订）第三十二条：“企业、个体工商户经营高危险性体育项目的，应当符合下列条件，并向县级以上地方人民政府体育主管部门提出申请：（一）相关体育设施符合国家标准；（二）具有达到规定数量的取得国家职业资格证书的社会体育指导人员和救助人员；（三）具有相应的安全保障制度和措施。县级以上地方人民政府体育主管部门应当自收到申请之日起30日内进行实地核查，做出批准或者不予批准的决定。批准的，应当发给许可证；不予批准的，应当书面通知申请人并说明理由。国务院体育主管部门应当会同有关部门制定、调整高危险性体育项目目录，经国务院批准后予以公布。”</w:t>
            </w:r>
          </w:p>
          <w:p>
            <w:pPr>
              <w:spacing w:line="360" w:lineRule="exact"/>
              <w:ind w:firstLine="420" w:firstLineChars="200"/>
              <w:jc w:val="left"/>
              <w:rPr>
                <w:rFonts w:ascii="Times New Roman" w:hAnsi="Times New Roman"/>
                <w:szCs w:val="21"/>
              </w:rPr>
            </w:pPr>
            <w:r>
              <w:rPr>
                <w:rFonts w:hint="eastAsia" w:ascii="Times New Roman" w:hAnsi="Times New Roman"/>
                <w:szCs w:val="21"/>
              </w:rPr>
              <w:t>1-3．《</w:t>
            </w:r>
            <w:r>
              <w:rPr>
                <w:rFonts w:hint="eastAsia" w:ascii="Times New Roman" w:hAnsi="Times New Roman"/>
                <w:bCs/>
                <w:szCs w:val="21"/>
              </w:rPr>
              <w:t>经营高危险性体育项目许可管理办法</w:t>
            </w:r>
            <w:r>
              <w:rPr>
                <w:rFonts w:hint="eastAsia" w:ascii="Times New Roman" w:hAnsi="Times New Roman"/>
                <w:szCs w:val="21"/>
              </w:rPr>
              <w:t>》（2013年，国家体育总局令第17号）第六条：“经营高危险性体育项目，应当具备下列条件：（一）相关体育设施符合国家标准；（二）具有达到规定数量、取得国家职业资格证书的社会体育指导人员和救助人员；（三）具有安全生产岗位责任制、安全操作规程、突发事件应急预案、体育设施、设备、器材安全检查制度等安全保障制度和措施；（四）法律、法规规定的其他条件。”第七条：“申请经营高危险性体育项目，应当提交下列材料：（一）申请书。申请书应当包括申请人的名称、住所，拟经营的高危险性体育项目，拟成立经营机构的名称、地址、经营场所等内容；（二）体育设施符合相关国家标准的说明性材料；（三）体育场所的所有权或使用权证明；（四）社会体育指导人员、救助人员的职业资格证明；（五）安全保障制度和措施；（六）法律、法规规定的其他材料。”第八条：“经营高危险性体育项目，应当向县级以上地方人民政府体育主管部门申请行政许可。”第九条：“</w:t>
            </w:r>
            <w:r>
              <w:rPr>
                <w:rFonts w:hint="eastAsia" w:ascii="Times New Roman" w:hAnsi="Times New Roman"/>
                <w:szCs w:val="21"/>
                <w:shd w:val="clear" w:color="auto" w:fill="FFFFFF"/>
              </w:rPr>
              <w:t>县级以上地方人民政府体育主管部门应当自收到申请之日起30日内进行实地核查，做出批准或者不予批准的决定。批准的，应当发给许可证；不予批准的，应当书面通知申请人并说明理由。</w:t>
            </w:r>
            <w:r>
              <w:rPr>
                <w:rFonts w:hint="eastAsia" w:ascii="Times New Roman" w:hAnsi="Times New Roman"/>
                <w:szCs w:val="21"/>
              </w:rPr>
              <w:t>”</w:t>
            </w:r>
          </w:p>
          <w:p>
            <w:pPr>
              <w:spacing w:line="360" w:lineRule="exact"/>
              <w:ind w:firstLine="420" w:firstLineChars="200"/>
              <w:rPr>
                <w:rFonts w:ascii="Times New Roman" w:hAnsi="Times New Roman"/>
                <w:szCs w:val="21"/>
              </w:rPr>
            </w:pPr>
            <w:r>
              <w:rPr>
                <w:rFonts w:hint="eastAsia" w:ascii="Times New Roman" w:hAnsi="Times New Roman"/>
                <w:szCs w:val="21"/>
              </w:rPr>
              <w:t>1-4．《成都市体育条例》第三十八条：“从事高危险性体育项目的，经营者应当向所在地区（市）县体育主管部门提出申请。区（市）县体育主管部门应当自收到申请的三十日内进行实地核查，做出批准或者不予批准的决定。高危险性体育项目按照经国务院批准公布的目录进行认定。”</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r>
              <w:rPr>
                <w:rStyle w:val="14"/>
                <w:rFonts w:hint="eastAsia" w:ascii="Times New Roman" w:hAnsi="Times New Roman"/>
                <w:b w:val="0"/>
                <w:szCs w:val="21"/>
              </w:rPr>
              <w:t>第四十五条</w:t>
            </w:r>
            <w:r>
              <w:rPr>
                <w:rFonts w:hint="eastAsia" w:ascii="Times New Roman" w:hAnsi="Times New Roman"/>
                <w:szCs w:val="21"/>
              </w:rPr>
              <w:t>：“行政机关作出行政许可决定，依法需要听证、招标、拍卖、检验、检测、检疫、鉴定和专家评审的，所需时间不计算在本节规定的期限内。行政机关应当将所需时间书面告知申请人。”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2-2.同1-2</w:t>
            </w:r>
          </w:p>
          <w:p>
            <w:pPr>
              <w:spacing w:line="360" w:lineRule="exact"/>
              <w:ind w:firstLine="420" w:firstLineChars="200"/>
              <w:jc w:val="left"/>
              <w:rPr>
                <w:rFonts w:ascii="Times New Roman" w:hAnsi="Times New Roman"/>
                <w:szCs w:val="21"/>
              </w:rPr>
            </w:pPr>
            <w:r>
              <w:rPr>
                <w:rFonts w:hint="eastAsia" w:ascii="Times New Roman" w:hAnsi="Times New Roman"/>
                <w:szCs w:val="21"/>
              </w:rPr>
              <w:t>2-3.同1-3.《</w:t>
            </w:r>
            <w:r>
              <w:rPr>
                <w:rFonts w:hint="eastAsia" w:ascii="Times New Roman" w:hAnsi="Times New Roman"/>
                <w:bCs/>
                <w:szCs w:val="21"/>
              </w:rPr>
              <w:t>经营高危险性体育项目许可管理办法</w:t>
            </w:r>
            <w:r>
              <w:rPr>
                <w:rFonts w:hint="eastAsia" w:ascii="Times New Roman" w:hAnsi="Times New Roman"/>
                <w:szCs w:val="21"/>
              </w:rPr>
              <w:t>》（2013年，国家体育总局令第17号）第九条</w:t>
            </w:r>
          </w:p>
          <w:p>
            <w:pPr>
              <w:spacing w:line="360" w:lineRule="exact"/>
              <w:ind w:firstLine="420" w:firstLineChars="200"/>
              <w:jc w:val="left"/>
              <w:rPr>
                <w:rFonts w:ascii="Times New Roman" w:hAnsi="Times New Roman"/>
                <w:szCs w:val="21"/>
              </w:rPr>
            </w:pPr>
            <w:r>
              <w:rPr>
                <w:rFonts w:hint="eastAsia" w:ascii="Times New Roman" w:hAnsi="Times New Roman"/>
                <w:szCs w:val="21"/>
              </w:rPr>
              <w:t>2-4.同1-4</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w:t>
            </w:r>
            <w:r>
              <w:rPr>
                <w:rStyle w:val="14"/>
                <w:rFonts w:hint="eastAsia" w:ascii="Times New Roman" w:hAnsi="Times New Roman"/>
                <w:b w:val="0"/>
                <w:szCs w:val="21"/>
              </w:rPr>
              <w:t>第三十八条</w:t>
            </w:r>
            <w:r>
              <w:rPr>
                <w:rFonts w:hint="eastAsia" w:ascii="Times New Roman" w:hAnsi="Times New Roman"/>
                <w:szCs w:val="21"/>
              </w:rPr>
              <w:t>：“申请人的申请符合法定条件、标准的，行政机关应当依法作出准予行政许可的书面决定。行政机关依法作出不予行政许可的书面决定的，应当说明理由，并告知申请人享有依法申请行政复议或者提起行政诉讼的权利。”</w:t>
            </w:r>
            <w:r>
              <w:rPr>
                <w:rStyle w:val="14"/>
                <w:rFonts w:hint="eastAsia" w:ascii="Times New Roman" w:hAnsi="Times New Roman"/>
                <w:b w:val="0"/>
                <w:szCs w:val="21"/>
              </w:rPr>
              <w:t>第三十九条：</w:t>
            </w:r>
            <w:r>
              <w:rPr>
                <w:rFonts w:hint="eastAsia" w:ascii="Times New Roman" w:hAnsi="Times New Roman"/>
                <w:szCs w:val="21"/>
              </w:rPr>
              <w:t>“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r>
              <w:rPr>
                <w:rStyle w:val="14"/>
                <w:rFonts w:hint="eastAsia" w:ascii="Times New Roman" w:hAnsi="Times New Roman"/>
                <w:b w:val="0"/>
                <w:szCs w:val="21"/>
              </w:rPr>
              <w:t>第四十二条</w:t>
            </w:r>
            <w:r>
              <w:rPr>
                <w:rFonts w:hint="eastAsia" w:ascii="Times New Roman" w:hAnsi="Times New Roman"/>
                <w:szCs w:val="21"/>
              </w:rPr>
              <w:t>：“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r>
              <w:rPr>
                <w:rStyle w:val="14"/>
                <w:rFonts w:hint="eastAsia" w:ascii="Times New Roman" w:hAnsi="Times New Roman"/>
                <w:b w:val="0"/>
                <w:szCs w:val="21"/>
              </w:rPr>
              <w:t>第四十四条</w:t>
            </w:r>
            <w:r>
              <w:rPr>
                <w:rFonts w:hint="eastAsia" w:ascii="Times New Roman" w:hAnsi="Times New Roman"/>
                <w:szCs w:val="21"/>
              </w:rPr>
              <w:t>：“行政机关作出准予行政许可的决定，应当自作出决定之日起十日内向申请人颁发、送达行政许可证件，或者加贴标签、加盖检验、检测、检疫印章。”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3-3.同1-2，2-3，1-4</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w:t>
            </w:r>
            <w:r>
              <w:rPr>
                <w:rFonts w:hint="eastAsia" w:ascii="Times New Roman" w:hAnsi="Times New Roman"/>
                <w:bCs/>
                <w:szCs w:val="21"/>
              </w:rPr>
              <w:t>第五条</w:t>
            </w:r>
            <w:r>
              <w:rPr>
                <w:rFonts w:hint="eastAsia" w:ascii="Times New Roman" w:hAnsi="Times New Roman"/>
                <w:szCs w:val="21"/>
              </w:rPr>
              <w:t>：“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szCs w:val="21"/>
              </w:rPr>
              <w:t>《中华人民共和国体育法》、</w:t>
            </w:r>
            <w:r>
              <w:rPr>
                <w:rFonts w:ascii="Times New Roman" w:hAnsi="Times New Roman"/>
                <w:szCs w:val="21"/>
              </w:rPr>
              <w:t>《行政机关公务员处分条例》、</w:t>
            </w:r>
            <w:r>
              <w:rPr>
                <w:rFonts w:hint="eastAsia" w:ascii="Times New Roman" w:hAnsi="Times New Roman"/>
                <w:szCs w:val="21"/>
              </w:rPr>
              <w:t>《全民健身条例》、《四川省体育条例》、《成都市体育条例》、《</w:t>
            </w:r>
            <w:r>
              <w:rPr>
                <w:rFonts w:hint="eastAsia" w:ascii="Times New Roman" w:hAnsi="Times New Roman"/>
                <w:bCs/>
                <w:szCs w:val="21"/>
              </w:rPr>
              <w:t>经营高危险性体育项目许可管理办法</w:t>
            </w:r>
            <w:r>
              <w:rPr>
                <w:rFonts w:hint="eastAsia" w:ascii="Times New Roman" w:hAnsi="Times New Roman"/>
                <w:szCs w:val="21"/>
              </w:rPr>
              <w:t>》、</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cs="黑体"/>
          <w:szCs w:val="21"/>
        </w:rPr>
      </w:pPr>
    </w:p>
    <w:p>
      <w:pPr>
        <w:spacing w:line="360" w:lineRule="exact"/>
        <w:rPr>
          <w:rFonts w:ascii="Times New Roman" w:hAnsi="Times New Roman" w:cs="黑体"/>
          <w:szCs w:val="21"/>
        </w:rPr>
      </w:pPr>
      <w:r>
        <w:rPr>
          <w:rFonts w:ascii="Times New Roman" w:hAnsi="Times New Roman" w:cs="黑体"/>
          <w:szCs w:val="21"/>
        </w:rPr>
        <w:br w:type="page"/>
      </w:r>
    </w:p>
    <w:p>
      <w:pPr>
        <w:pStyle w:val="3"/>
        <w:spacing w:line="360" w:lineRule="exact"/>
        <w:rPr>
          <w:rFonts w:ascii="Times New Roman" w:hAnsi="Times New Roman"/>
          <w:sz w:val="24"/>
        </w:rPr>
      </w:pPr>
      <w:r>
        <w:rPr>
          <w:rFonts w:hint="eastAsia" w:ascii="Times New Roman" w:hAnsi="Times New Roman"/>
        </w:rPr>
        <w:t>表2-99</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娱乐场所设立审批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hd w:val="clear" w:color="auto" w:fill="FFFFFF"/>
              <w:spacing w:line="360" w:lineRule="exact"/>
              <w:ind w:firstLine="480"/>
              <w:rPr>
                <w:rFonts w:ascii="Times New Roman" w:hAnsi="Times New Roman"/>
                <w:szCs w:val="21"/>
              </w:rPr>
            </w:pPr>
            <w:r>
              <w:rPr>
                <w:rFonts w:hint="eastAsia" w:ascii="Times New Roman" w:hAnsi="Times New Roman"/>
                <w:szCs w:val="21"/>
              </w:rPr>
              <w:t>1.《娱乐场所管理条例》（2006年，国务院令第458号；2016年3月1日根据《国务院关于修改部分行政法规的决定》修订）第九条：“娱乐场所申请从事娱乐场所经营活动，应当向所在地县级人民政府文化主管部门提出申请；中外合资经营、中外合作经营的娱乐场所申请从事娱乐场所经营活动，应当向所在地省、自治区、直辖市人民政府文化主管部门提出申请（根据《四川省人民政府关于取消和下放第三批行政审批项目的决定》【川府发（2013）63号】附件2第6项，中外合资经营、合作经营娱乐场所审批事项已下放到县级人民政府文化主管部门权限范围）。娱乐场所申请从事娱乐场所经营活动，应当提交投资人员、拟任的法定代表人和其他负责人没有本条例第五条规定情形的书面声明。申请人应当对书面声明内容的真实性负责。受理申请的文化主管部门应当就书面声明向公安部门或者其他有关单位核查，公安部门或者其他有关单位应当予以配合；经核查属实的，文化主管部门应当依据本条例第七条、第八条的规定进行实地检查，作出决定。予以批准的，颁发娱乐经营许可证，并根据国务院文化主管部门的规定核定娱乐场所容纳的消费者数量；不予批准的，应当书面通知申请人并说明理由。有关法律、行政法规规定需要办理消防、卫生、环境保护等审批手续的，从其规定。”</w:t>
            </w:r>
          </w:p>
          <w:p>
            <w:pPr>
              <w:shd w:val="clear" w:color="auto" w:fill="FFFFFF"/>
              <w:spacing w:line="360" w:lineRule="exact"/>
              <w:ind w:firstLine="480"/>
              <w:rPr>
                <w:rFonts w:ascii="Times New Roman" w:hAnsi="Times New Roman"/>
                <w:szCs w:val="21"/>
              </w:rPr>
            </w:pPr>
            <w:r>
              <w:rPr>
                <w:rFonts w:hint="eastAsia" w:ascii="Times New Roman" w:hAnsi="Times New Roman"/>
                <w:szCs w:val="21"/>
              </w:rPr>
              <w:t>2.《娱乐场所管理办法》（2013年，文化部令第55号）第九条：“设立娱乐场所，应当向所在地县级人民政府文化主管部门提出申请；设立中外合资经营、中外合作经营娱乐场所，应当向所在地省级人民政府文化主管部门提出申请，省级人民政府文化主管部门可以委托所在地县级以上文化主管部门进行实地检查（根据《四川省人民政府关于取消和下放第三批行政审批项目的决定》【川府发（2013）63号】附件2第6项，中外合资经营、合作经营娱乐场所审批事项已下放到县级人民政府文化主管部门权限范围）。”第十四条：“文化主管部门应当根据听证和文化产品内容核查结果作出行政许可决定。予以批准的，核发娱乐经营许可证；不予批准的，应当书面告知申请人并说明理由。”</w:t>
            </w:r>
          </w:p>
          <w:p>
            <w:pPr>
              <w:spacing w:line="360" w:lineRule="exact"/>
              <w:ind w:firstLine="420" w:firstLineChars="200"/>
              <w:rPr>
                <w:rFonts w:ascii="Times New Roman" w:hAnsi="Times New Roman"/>
                <w:szCs w:val="21"/>
              </w:rPr>
            </w:pPr>
            <w:r>
              <w:rPr>
                <w:rFonts w:hint="eastAsia" w:ascii="Times New Roman" w:hAnsi="Times New Roman"/>
                <w:szCs w:val="21"/>
              </w:rPr>
              <w:t xml:space="preserve">3. </w:t>
            </w:r>
            <w:r>
              <w:rPr>
                <w:rFonts w:ascii="Times New Roman" w:hAnsi="Times New Roman"/>
                <w:szCs w:val="21"/>
              </w:rPr>
              <w:t>《四川省娱乐场所管理办法》</w:t>
            </w:r>
            <w:r>
              <w:rPr>
                <w:rFonts w:hint="eastAsia" w:ascii="Times New Roman" w:hAnsi="Times New Roman"/>
                <w:szCs w:val="21"/>
              </w:rPr>
              <w:t>（</w:t>
            </w:r>
            <w:r>
              <w:rPr>
                <w:rFonts w:ascii="Times New Roman" w:hAnsi="Times New Roman"/>
                <w:szCs w:val="21"/>
              </w:rPr>
              <w:t>2011年</w:t>
            </w:r>
            <w:r>
              <w:rPr>
                <w:rFonts w:hint="eastAsia" w:ascii="Times New Roman" w:hAnsi="Times New Roman"/>
                <w:szCs w:val="21"/>
              </w:rPr>
              <w:t>，省人民政府令第253号）第七条：“设立娱乐场所，应当向所在地县级文化行政主管部门提出申请；设立中外合资经营、中外合作经营的娱乐场所，应当向省文化行政主管部门提出申请（根据《四川省人民政府关于取消和下放第三批行政审批项目的决定》【川府发（2013）63号】附件2第6项，中外合资经营、合作经营娱乐场所审批事项已下放到县级人民政府文化主管部门权限范围）。”第八条：“申请人取得公安消防、卫生、环境保护等部门核发的批准文件后，由文化行政主管部门核发省文化行政主管部门印制的娱乐经营许可证，许可证应当明确有效期限；申请人持娱乐经营许可证和有关批准文件到工商部门办理登记手续，领取营业执照（根据《国务院关于取消和调整一批行政审批项目等事项的决定》（国发〔2014〕27号），设立娱乐场所审批调整为后置审批事项，实行“先照后证”）。娱乐场所取得营业执照后，应当在15日内向所在地县级公安机关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snapToGrid w:val="0"/>
              <w:spacing w:line="360" w:lineRule="exact"/>
              <w:jc w:val="center"/>
              <w:rPr>
                <w:rFonts w:ascii="Times New Roman" w:hAnsi="Times New Roman"/>
                <w:szCs w:val="21"/>
                <w:shd w:val="clear" w:color="auto" w:fill="FFFFFF"/>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Style w:val="14"/>
                <w:rFonts w:hint="eastAsia" w:ascii="Times New Roman" w:hAnsi="Times New Roman"/>
                <w:b w:val="0"/>
                <w:szCs w:val="21"/>
              </w:rPr>
              <w:t>第三十二条</w:t>
            </w:r>
            <w:r>
              <w:rPr>
                <w:rFonts w:hint="eastAsia" w:ascii="Times New Roman" w:hAnsi="Times New Roman"/>
                <w:szCs w:val="21"/>
              </w:rPr>
              <w:t>：“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-2.《娱乐场所管理条例》（2006年，国务院令第458号；2016年3月1日根据《国务院关于修改部分行政法规的决定》修订）第九条：“娱乐场所申请从事娱乐场所经营活动，应当向所在地县级人民政府文化主管部门提出申请；中外合资经营、中外合作经营的娱乐场所申请从事娱乐场所经营活动，应当向所在地省、自治区、直辖市人民政府文化主管部门提出申请（根据《四川省人民政府关于取消和下放第三批行政审批项目的决定》【川府发（2013）63号】附件2第6项，中外合资经营、合作经营娱乐场所审批事项已下放到县级人民政府文化主管部门权限范围）。娱乐场所申请从事娱乐场所经营活动，应当提交投资人员、拟任的法定代表人和其他负责人没有本条例第五条规定情形的书面声明。申请人应当对书面声明内容的真实性负责。受理申请的文化主管部门应当就书面声明向公安部门或者其他有关单位核查，公安部门或者其他有关单位应当予以配合；经核查属实的，文化主管部门应当依据本条例第七条、第八条的规定进行实地检查，作出决定。予以批准的，颁发娱乐经营许可证，并根据国务院文化主管部门的规定核定娱乐场所容纳的消费者数量；不予批准的，应当书面通知申请人并说明理由。有关法律、行政法规规定需要办理消防、卫生、环境保护等审批手续的，从其规定。”</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-3.《娱乐场所管理办法》（2013年，文化部令第55号）第九条：“设立娱乐场所，应当向所在地县级人民政府文化主管部门提出申请；设立中外合资经营、中外合作经营娱乐场所，应当向所在地省级人民政府文化主管部门提出申请，省级人民政府文化主管部门可以委托所在地县级以上文化主管部门进行实地检查（根据《四川省人民政府关于取消和下放第三批行政审批项目的决定》【川府发（2013）63号】附件2第6项，中外合资经营、合作经营娱乐场所审批事项已下放到县级人民政府文化主管部门权限范围）。”第十条：“申请设立娱乐场所前，筹建人可以向负责审批的文化主管部门提交筹建咨询申请，文化主管部门应当为筹建人提供行政指导。”第十一条：“申请设立娱乐场所，应当提交以下文件：（一）设立申请书；（二）企业名称预先核准通知书或者营业执照（根据《国务院关于取消和调整一批行政审批项目等事项的决定》（国发〔2014〕27号），设立娱乐场所审批调整为后置审批事项，故此项材料内容应修正为“工商部门核发的《营业执照》”）；（三）组织机构和章程；（四）投资人、拟任法定代表人、主要负责人的身份证明以及无《条例》第四条、第五条、第五十二条规定情况的书面声明；（五）房产权属证书，租赁场地经营的，还应当提交租赁合同或者租赁意向书；（六）经营场所地理位置图；（七）场所内部结构平面图，歌舞娱乐场所应当标明包厢、包间面积及位置，游艺娱乐场所应当标明游戏和游艺分区经营位置、游戏游艺设备数量及位置；（八）消防、环境保护部门的批准文件；申请设立中外合资、中外合作经营娱乐场所的，还应当提交商务主管部门的批准文件。”</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-4.《四川省娱乐场所管理办法》（2011年，省人民政府令第253号）第七条：“设立娱乐场所，应当向所在地县级文化行政主管部门提出申请；设立中外合资经营、中外合作经营的娱乐场所，应当向省文化行政主管部门提出申请（根据《四川省人民政府关于取消和下放第三批行政审批项目的决定》【川府发（2013）63号】附件2第6项，中外合资经营、合作经营娱乐场所审批事项已下放到县级人民政府文化主管部门权限范围）。”第十条：“申办娱乐经营许可证，应当向文化行政主管部门提交申请材料，申请材料应当包括下列内容：（一）载明单位名称、地址、场所名称、经营性质、经营项目、注册资金数额和来源等内容的申请报告。（二）工商部门核发的企业名称预先核准通知书（根据《国务院关于取消和调整一批行政审批项目等事项的决定》（国发〔2014〕27号），设立娱乐场所审批调整为后置审批事项，故此项材料内容应修正为“工商部门核发的《营业执照》”）。（三）投资人、拟任法定代表人和其他负责人身份证明以及确无国务院《娱乐场所管理条例》第五条所列情形的书面申明。（四）经营场所的产权证明；租赁经营场所的，提交使用权证明。（五）娱乐场所地理方位图、内部布置平面图。（六）娱乐场所设施设备、技术监管系统的有关材料。（七）公安消防、卫生、环境保护等部门核发的批准文件和法律、法规要求提交的其他材料。申办中外合资、中外合作娱乐场所的，还应提交商务部门核发的外商投资企业批准证书。”</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r>
              <w:rPr>
                <w:rStyle w:val="14"/>
                <w:rFonts w:hint="eastAsia" w:ascii="Times New Roman" w:hAnsi="Times New Roman"/>
                <w:b w:val="0"/>
                <w:szCs w:val="21"/>
              </w:rPr>
              <w:t>第四十五条</w:t>
            </w:r>
            <w:r>
              <w:rPr>
                <w:rFonts w:hint="eastAsia" w:ascii="Times New Roman" w:hAnsi="Times New Roman"/>
                <w:szCs w:val="21"/>
              </w:rPr>
              <w:t>：“行政机关作出行政许可决定，依法需要听证、招标、拍卖、检验、检测、检疫、鉴定和专家评审的，所需时间不计算在本节规定的期限内。行政机关应当将所需时间书面告知申请人。”</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2-2.同1-2</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-3.《娱乐场所管理条例》（2006年，国务院令第458号；2016年3月1日根据《国务院关于修改部分行政法规的决定》修订）第十条：“文化主管部门审批娱乐场所应当举行听证。有关听证的程序，依照《中华人民共和国行政许可法》的规定执行。”</w:t>
            </w:r>
          </w:p>
          <w:p>
            <w:pPr>
              <w:snapToGrid w:val="0"/>
              <w:spacing w:line="360" w:lineRule="exact"/>
              <w:ind w:firstLine="420" w:firstLineChars="200"/>
              <w:jc w:val="left"/>
              <w:rPr>
                <w:rFonts w:ascii="Times New Roman" w:hAnsi="Times New Roman"/>
                <w:szCs w:val="21"/>
                <w:shd w:val="clear" w:color="auto" w:fill="FFFFFF"/>
              </w:rPr>
            </w:pPr>
            <w:r>
              <w:rPr>
                <w:rFonts w:hint="eastAsia" w:ascii="Times New Roman" w:hAnsi="Times New Roman"/>
                <w:szCs w:val="21"/>
                <w:shd w:val="clear" w:color="auto" w:fill="FFFFFF"/>
              </w:rPr>
              <w:t>2-4.</w:t>
            </w:r>
            <w:r>
              <w:rPr>
                <w:rFonts w:hint="eastAsia" w:ascii="Times New Roman" w:hAnsi="Times New Roman"/>
                <w:szCs w:val="21"/>
              </w:rPr>
              <w:t>《娱乐场所管理办法》（2013年，文化部令第55号）</w:t>
            </w:r>
            <w:r>
              <w:rPr>
                <w:rStyle w:val="14"/>
                <w:rFonts w:hint="eastAsia" w:ascii="Times New Roman" w:hAnsi="Times New Roman"/>
                <w:b w:val="0"/>
                <w:szCs w:val="21"/>
                <w:shd w:val="clear" w:color="auto" w:fill="FFFFFF"/>
              </w:rPr>
              <w:t>第十二条</w:t>
            </w:r>
            <w:r>
              <w:rPr>
                <w:rFonts w:hint="eastAsia" w:ascii="Times New Roman" w:hAnsi="Times New Roman"/>
                <w:szCs w:val="21"/>
                <w:shd w:val="clear" w:color="auto" w:fill="FFFFFF"/>
              </w:rPr>
              <w:t>：“文化主管部门受理申请后，应当对设立场所的位置、周边环境、面积等进行实地检查。符合条件的，应当在设立场所、文化主管部门办公场所显著位置向社会公示10日，并依法组织听证。”第十三条：“文化主管部门应当对歌舞娱乐场所使用的歌曲点播系统和游艺娱乐场所使用的游戏游艺设备进行内容核查。”</w:t>
            </w:r>
          </w:p>
          <w:p>
            <w:pPr>
              <w:spacing w:line="360" w:lineRule="exact"/>
              <w:ind w:firstLine="420" w:firstLineChars="200"/>
              <w:rPr>
                <w:rFonts w:ascii="Times New Roman" w:hAnsi="Times New Roman"/>
                <w:szCs w:val="21"/>
              </w:rPr>
            </w:pPr>
            <w:r>
              <w:rPr>
                <w:rFonts w:hint="eastAsia" w:ascii="Times New Roman" w:hAnsi="Times New Roman"/>
                <w:szCs w:val="21"/>
                <w:shd w:val="clear" w:color="auto" w:fill="FFFFFF"/>
              </w:rPr>
              <w:t>2-5.</w:t>
            </w:r>
            <w:r>
              <w:rPr>
                <w:rFonts w:hint="eastAsia" w:ascii="Times New Roman" w:hAnsi="Times New Roman"/>
                <w:szCs w:val="21"/>
              </w:rPr>
              <w:t>《四川省娱乐场所管理办法》（2011年，省人民政府令第253号）第十一条：“文化行政主管部门受理娱乐场所设立申请，应当依法进行公示，并依照《中华人民共和国行政许可法》的规定程序举行听证。公示、听证所需时间，不计算在审批期限内。”</w:t>
            </w:r>
          </w:p>
          <w:p>
            <w:pPr>
              <w:spacing w:line="360" w:lineRule="exact"/>
              <w:ind w:firstLine="420" w:firstLineChars="200"/>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napToGrid w:val="0"/>
              <w:spacing w:line="360" w:lineRule="exact"/>
              <w:ind w:firstLine="411" w:firstLineChars="196"/>
              <w:jc w:val="left"/>
              <w:rPr>
                <w:rFonts w:ascii="Times New Roman" w:hAnsi="Times New Roman"/>
                <w:szCs w:val="21"/>
              </w:rPr>
            </w:pPr>
            <w:r>
              <w:rPr>
                <w:rFonts w:hint="eastAsia" w:ascii="Times New Roman" w:hAnsi="Times New Roman"/>
                <w:szCs w:val="21"/>
              </w:rPr>
              <w:t>3-3.同1-2</w:t>
            </w:r>
          </w:p>
          <w:p>
            <w:pPr>
              <w:snapToGrid w:val="0"/>
              <w:spacing w:line="360" w:lineRule="exact"/>
              <w:ind w:firstLine="411" w:firstLineChars="196"/>
              <w:jc w:val="left"/>
              <w:rPr>
                <w:rFonts w:ascii="Times New Roman" w:hAnsi="Times New Roman"/>
                <w:szCs w:val="21"/>
                <w:shd w:val="clear" w:color="auto" w:fill="FFFFFF"/>
              </w:rPr>
            </w:pPr>
            <w:r>
              <w:rPr>
                <w:rFonts w:hint="eastAsia" w:ascii="Times New Roman" w:hAnsi="Times New Roman"/>
                <w:szCs w:val="21"/>
              </w:rPr>
              <w:t>3-4.《娱乐场所管理办法》（2013年，文化部令第55号）</w:t>
            </w:r>
            <w:r>
              <w:rPr>
                <w:rStyle w:val="14"/>
                <w:rFonts w:hint="eastAsia" w:ascii="Times New Roman" w:hAnsi="Times New Roman"/>
                <w:b w:val="0"/>
                <w:szCs w:val="21"/>
                <w:shd w:val="clear" w:color="auto" w:fill="FFFFFF"/>
              </w:rPr>
              <w:t>第十四条</w:t>
            </w:r>
            <w:r>
              <w:rPr>
                <w:rFonts w:hint="eastAsia" w:ascii="Times New Roman" w:hAnsi="Times New Roman"/>
                <w:szCs w:val="21"/>
                <w:shd w:val="clear" w:color="auto" w:fill="FFFFFF"/>
              </w:rPr>
              <w:t>：“文化主管部门应当根据听证和文化产品内容核查结果作出行政许可决定。予以批准的，核发娱乐经营许可证；不予批准的，应当书面告知申请人并说明理由。”</w:t>
            </w:r>
          </w:p>
          <w:p>
            <w:pPr>
              <w:snapToGrid w:val="0"/>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3-5.《四川省娱乐场所管理办法》（2011年，省人民政府令第253号）第八条：“申请人取得公安消防、卫生、环境保护等部门核发的批准文件后，由文化行政主管部门核发省文化行政主管部门印制的娱乐经营许可证，许可证应当明确有效期限；申请人持娱乐经营许可证和有关批准文件到工商部门办理登记手续，领取营业执照（根据《国务院关于取消和调整一批行政审批项目等事项的决定》（国发〔2014〕27号），设立娱乐场所审批调整为后置审批事项，实行“先照后证”）。娱乐场所取得营业执照后，应当在15日内向所在地县级公安机关备案。”第九条：“文化、公安消防、卫生、环境保护等部门对受理的申请，应当在法定审批时限内作出决定；不予批准的，应当书面通知申请人并说明理由，同时告知其享有依法申请行政复议或者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4.《中华人民共和国行政许可法》</w:t>
            </w:r>
            <w:r>
              <w:rPr>
                <w:rFonts w:hint="eastAsia" w:ascii="Times New Roman" w:hAnsi="Times New Roman"/>
                <w:bCs/>
                <w:szCs w:val="21"/>
              </w:rPr>
              <w:t>第五条</w:t>
            </w:r>
            <w:r>
              <w:rPr>
                <w:rFonts w:hint="eastAsia" w:ascii="Times New Roman" w:hAnsi="Times New Roman"/>
                <w:szCs w:val="21"/>
              </w:rPr>
              <w:t>：“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《娱乐场所管理条例》、《娱乐场所管理办法》、《四川省娱乐场所管理办法》、</w:t>
            </w:r>
            <w:r>
              <w:rPr>
                <w:rFonts w:ascii="Times New Roman" w:hAnsi="Times New Roman"/>
                <w:szCs w:val="21"/>
              </w:rPr>
              <w:t>《四川省行政审批违法违纪行为责任追究办法》</w:t>
            </w:r>
            <w:r>
              <w:rPr>
                <w:rFonts w:hint="eastAsia" w:ascii="Times New Roman" w:hAnsi="Times New Roman"/>
                <w:szCs w:val="21"/>
              </w:rPr>
              <w:t>、《四川省行政机关工作人员行政过错责任追究试行办法》</w:t>
            </w:r>
            <w:r>
              <w:rPr>
                <w:rFonts w:ascii="Times New Roman" w:hAnsi="Times New Roman"/>
                <w:szCs w:val="21"/>
              </w:rPr>
              <w:t>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表2-100</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文艺表演团体设立审批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 xml:space="preserve">《营业性演出管理条例》（2005年，国务院令第439号，根据2008年7月22日《国务院关于修改〈营业性演出管理条例〉的决定》第一次修订，根据2013年7月18日《国务院关于废止和修改部分行政法规的决定》第二次修订，根据2016年2月6日国务院令第666号《国务院关于修改部分行政法规的决定》第三次修订）第六条：“文艺表演团体申请从事营业性演出活动，应当有与其业务相适应的专职演员和器材设备，并向县级人民政府文化主管部门提出申请；演出经纪机构申请从事营业性演出经营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Style w:val="14"/>
                <w:rFonts w:hint="eastAsia" w:ascii="Times New Roman" w:hAnsi="Times New Roman"/>
                <w:b w:val="0"/>
                <w:szCs w:val="21"/>
              </w:rPr>
              <w:t>第三十二条</w:t>
            </w:r>
            <w:r>
              <w:rPr>
                <w:rFonts w:hint="eastAsia" w:ascii="Times New Roman" w:hAnsi="Times New Roman"/>
                <w:szCs w:val="21"/>
              </w:rPr>
              <w:t>：“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营业性演出管理条例》（2005年，国务院令第439号，根据2008年7月22日《国务院关于修改〈营业性演出管理条例〉的决定》第一次修订，根据2013年7月18日《国务院关于废止和修改部分行政法规的决定》第二次修订，根据2016年2月6日国务院令第666号《国务院关于修改部分行政法规的决定》第三次修订）第六条：“文艺表演团体申请从事营业性演出活动，应当有与其业务相适应的专职演员和器材设备，并向县级人民政府文化主管部门提出申请；演出经纪机构申请从事营业性演出经营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1-3.《营业性演出管理条例实施细则》（2009年，文化部令第47号，2017年12月文化部令第57号修订）</w:t>
            </w:r>
            <w:r>
              <w:rPr>
                <w:rFonts w:ascii="Times New Roman" w:hAnsi="Times New Roman" w:cs="宋体"/>
                <w:kern w:val="0"/>
                <w:szCs w:val="21"/>
              </w:rPr>
              <w:t>第七条</w:t>
            </w:r>
            <w:r>
              <w:rPr>
                <w:rFonts w:hint="eastAsia" w:ascii="Times New Roman" w:hAnsi="Times New Roman" w:cs="宋体"/>
                <w:kern w:val="0"/>
                <w:szCs w:val="21"/>
              </w:rPr>
              <w:t>：“</w:t>
            </w:r>
            <w:r>
              <w:rPr>
                <w:rFonts w:hint="eastAsia" w:ascii="Times New Roman" w:hAnsi="Times New Roman"/>
                <w:szCs w:val="21"/>
              </w:rPr>
              <w:t xml:space="preserve">依法登记的文艺表演团体申请从事营业性演出活动，应当向文化主管部门提交下列文件：(一)申请书；(二)营业执照和从事的艺术类型；(三)法定代表人或者主要负责人的身份证明；(四)演员的艺术表演能力证明；(五)与业务相适应的演出器材设备书面声明。前款第四项所称演员的艺术表演能力证明，可以是下列文件之一：(一)中专以上学校文艺表演类专业毕业证书；(二)职称证书；(三)演出行业协会颁发的演员资格证明；(四)其他有效证明。” </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r>
              <w:rPr>
                <w:rStyle w:val="14"/>
                <w:rFonts w:hint="eastAsia" w:ascii="Times New Roman" w:hAnsi="Times New Roman"/>
                <w:b w:val="0"/>
                <w:szCs w:val="21"/>
              </w:rPr>
              <w:t>第四十五条</w:t>
            </w:r>
            <w:r>
              <w:rPr>
                <w:rFonts w:hint="eastAsia" w:ascii="Times New Roman" w:hAnsi="Times New Roman"/>
                <w:szCs w:val="21"/>
              </w:rPr>
              <w:t>：“行政机关作出行政许可决定，依法需要听证、招标、拍卖、检验、检测、检疫、鉴定和专家评审的，所需时间不计算在本节规定的期限内。行政机关应当将所需时间书面告知申请人。”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3-3.《营业性演出管理条例》（2005年，国务院令第439号，根据2008年7月22日《国务院关于修改〈营业性演出管理条例〉的决定》第一次修订，根据2013年7月18日《国务院关于废止和修改部分行政法规的决定》第二次修订，根据2016年2月6日国务院令第666号《国务院关于修改部分行政法规的决定》第三次修订）第六条：“文艺表演团体申请从事营业性演出活动，应当有与其业务相适应的专职演员和器材设备，并向县级人民政府文化主管部门提出申请；演出经纪机构申请从事营业性演出经营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第十三条：“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4.《中华人民共和国行政许可法》</w:t>
            </w:r>
            <w:r>
              <w:rPr>
                <w:rFonts w:hint="eastAsia" w:ascii="Times New Roman" w:hAnsi="Times New Roman"/>
                <w:bCs/>
                <w:szCs w:val="21"/>
              </w:rPr>
              <w:t>第五条</w:t>
            </w:r>
            <w:r>
              <w:rPr>
                <w:rFonts w:hint="eastAsia" w:ascii="Times New Roman" w:hAnsi="Times New Roman"/>
                <w:szCs w:val="21"/>
              </w:rPr>
              <w:t>：“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《营业性演出管理条例》、《营业性演出管理条例实施细则》、</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黑体"/>
          <w:sz w:val="32"/>
          <w:szCs w:val="32"/>
        </w:rPr>
      </w:pPr>
    </w:p>
    <w:p>
      <w:pPr>
        <w:widowControl/>
        <w:spacing w:line="360" w:lineRule="exact"/>
        <w:jc w:val="left"/>
        <w:rPr>
          <w:rFonts w:ascii="Times New Roman" w:hAnsi="Times New Roman" w:eastAsia="黑体"/>
          <w:sz w:val="32"/>
          <w:szCs w:val="32"/>
        </w:rPr>
      </w:pPr>
      <w:r>
        <w:rPr>
          <w:rFonts w:ascii="Times New Roman" w:hAnsi="Times New Roman" w:eastAsia="黑体"/>
          <w:sz w:val="32"/>
          <w:szCs w:val="32"/>
        </w:rPr>
        <w:br w:type="page"/>
      </w:r>
    </w:p>
    <w:p>
      <w:pPr>
        <w:pStyle w:val="3"/>
        <w:spacing w:line="360" w:lineRule="exact"/>
        <w:rPr>
          <w:rFonts w:ascii="Times New Roman" w:hAnsi="Times New Roman"/>
          <w:sz w:val="24"/>
        </w:rPr>
      </w:pPr>
      <w:r>
        <w:rPr>
          <w:rFonts w:hint="eastAsia" w:ascii="Times New Roman" w:hAnsi="Times New Roman"/>
        </w:rPr>
        <w:t>表2-101</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营业性演出审批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营业性演出管理条例》（2005年，国务院令第439号，根据2008年7月22日《国务院关于修改〈营业性演出管理条例〉的决定》第一次修订，根据2013年7月18日《国务院关于废止和修改部分行政法规的决定》第二次修订，根据2016年2月6日国务院令第666号《国务院关于修改部分行政法规的决定》第三次修订）第十三条：“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Style w:val="14"/>
                <w:rFonts w:hint="eastAsia" w:ascii="Times New Roman" w:hAnsi="Times New Roman"/>
                <w:b w:val="0"/>
                <w:szCs w:val="21"/>
              </w:rPr>
              <w:t>第三十二条</w:t>
            </w:r>
            <w:r>
              <w:rPr>
                <w:rFonts w:hint="eastAsia" w:ascii="Times New Roman" w:hAnsi="Times New Roman"/>
                <w:szCs w:val="21"/>
              </w:rPr>
              <w:t>：“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营业性演出管理条例》（2005年，国务院令第439号，根据2008年7月22日《国务院关于修改〈营业性演出管理条例〉的决定》第一次修订，根据2013年7月18日《国务院关于废止和修改部分行政法规的决定》第二次修订，根据2016年2月6日国务院令第666号《国务院关于修改部分行政法规的决定》第三次修订）第十三条：“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第十六条：“申请举办营业性演出，提交的申请材料应当包括下列内容：（一）演出名称、演出举办单位和参加演出的文艺表演团体、演员；（二）演出时间、地点、场次；（三）节目及其视听资料。申请举办营业性组台演出，还应当提交文艺表演团体、演员同意参加演出的书面函件。营业性演出需要变更申请材料所列事项的，应当分别依照本条例第十三条、第十五条规定重新报批。”第二十条：“审批临时搭建舞台、看台的营业性演出时，文化主管部门应当核验演出举办单位的下列文件：（一）依法验收后取得的演出场所合格证明；（二）安全保卫工作方案和灭火、应急疏散预案；（三）依法取得的安全、消防批准文件。”</w:t>
            </w:r>
          </w:p>
          <w:p>
            <w:pPr>
              <w:spacing w:line="360" w:lineRule="exact"/>
              <w:ind w:firstLine="420" w:firstLineChars="200"/>
              <w:jc w:val="left"/>
              <w:rPr>
                <w:rFonts w:ascii="Times New Roman" w:hAnsi="Times New Roman"/>
                <w:szCs w:val="21"/>
              </w:rPr>
            </w:pPr>
            <w:r>
              <w:rPr>
                <w:rFonts w:hint="eastAsia" w:ascii="Times New Roman" w:hAnsi="Times New Roman"/>
                <w:szCs w:val="21"/>
              </w:rPr>
              <w:t>1-3.《营业性演出管理条例实施细则》（2009年，文化部令第47号，2017年12月文化部令第57号修订）第十六条：“申请举办营业性演出，应当在演出日期3日前将申请材料提交负责审批的文化主管部门。申请举办营业性涉外或者涉港澳台演出，应当在演出日期20日前将申请材料提交负责审批的文化主管部门。”第十七条：“申请举办营业性演出，应当持营业性演出许可证或者备案证明，向文化主管部门提交符合《条例》第十六条规定的文件。申请举办临时搭建舞台、看台的营业性演出，还应当提交符合《条例》第二十条第（二）、（三）项规定的文件。对经批准的临时搭建舞台、看台的演出活动，演出举办单位还应当在演出前向演出所在地县级文化主管部门提交符合《条例》第二十条第（一）项规定的文件，不符合规定条件的，演出活动不得举行。《条例》第二十条所称临时搭建舞台、看台的营业性演出是指符合《大型群众性活动安全管理条例》规定的营业性演出活动。《条例》第二十条第（一）项所称演出场所合格证明，是指由演出举办单位组织有关承建单位进行竣工验收，并作出的验收合格证明材料。申请举办需要未成年人参加的营业性演出，应当符合国家有关规定。”</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r>
              <w:rPr>
                <w:rStyle w:val="14"/>
                <w:rFonts w:hint="eastAsia" w:ascii="Times New Roman" w:hAnsi="Times New Roman"/>
                <w:b w:val="0"/>
                <w:szCs w:val="21"/>
              </w:rPr>
              <w:t>第四十五条</w:t>
            </w:r>
            <w:r>
              <w:rPr>
                <w:rFonts w:hint="eastAsia" w:ascii="Times New Roman" w:hAnsi="Times New Roman"/>
                <w:szCs w:val="21"/>
              </w:rPr>
              <w:t>：“行政机关作出行政许可决定，依法需要听证、招标、拍卖、检验、检测、检疫、鉴定和专家评审的，所需时间不计算在本节规定的期限内。行政机关应当将所需时间书面告知申请人。”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3-3.《营业性演出管理条例》（2005年，国务院令第439号，根据2008年7月22日《国务院关于修改〈营业性演出管理条例〉的决定》第一次修订，根据2013年7月18日《国务院关于废止和修改部分行政法规的决定》第二次修订，根据2016年2月6日国务院令第666号《国务院关于修改部分行政法规的决定》第三次修订）第十三条：“举办营业性演出，应当向演出所在地县级人民政府文化主管部门提出申请。县级人民政府文化主管部门应当自受理申请之日起3日内作出决定。对符合本条例第二十五条规定的，发给批准文件；对不符合本条例第二十五条规定的，不予批准，书面通知申请人并说明理由。”</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4.《中华人民共和国行政许可法》</w:t>
            </w:r>
            <w:r>
              <w:rPr>
                <w:rFonts w:hint="eastAsia" w:ascii="Times New Roman" w:hAnsi="Times New Roman"/>
                <w:bCs/>
                <w:szCs w:val="21"/>
              </w:rPr>
              <w:t>第五条</w:t>
            </w:r>
            <w:r>
              <w:rPr>
                <w:rFonts w:hint="eastAsia" w:ascii="Times New Roman" w:hAnsi="Times New Roman"/>
                <w:szCs w:val="21"/>
              </w:rPr>
              <w:t>：“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《营业性演出管理条例》、《营业性演出管理条例实施细则》、</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表2-102</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互联网上网服务营业场所经营单位设立审批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《互联网上网服务营业场所管理条例》(2002年，国务院令第363号；根据2011年1月8日《国务院关于废止和修改部分行政法规的决定》第一次修订；根据 2016年2月6日国务院令第666号《国务院关于修改部分行政法规的决定》第二次修订) 第四条：“县级以上人民政府文化行政部门负责互联网上网服务营业场所经营单位的设立审批，并负责对依法设立的互联网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有关法律、行政法规的规定，对互联网上网服务营业场所经营单位分别实施有关监督管理。”第七条：“</w:t>
            </w:r>
            <w:r>
              <w:rPr>
                <w:rFonts w:ascii="Times New Roman" w:hAnsi="Times New Roman" w:cs="Arial"/>
                <w:szCs w:val="21"/>
                <w:shd w:val="clear" w:color="auto" w:fill="FFFFFF"/>
              </w:rPr>
              <w:t>国家对互联网上网服务营业场所经营单位的经营活动实行许可制度。未经许可，任何组织和个人不得从事互联网上网服务经营活动。</w:t>
            </w:r>
            <w:r>
              <w:rPr>
                <w:rFonts w:hint="eastAsia" w:ascii="Times New Roman" w:hAnsi="Times New Roman" w:cs="Arial"/>
                <w:szCs w:val="21"/>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Fonts w:hint="eastAsia" w:ascii="Times New Roman" w:hAnsi="Times New Roman"/>
                <w:bCs/>
                <w:szCs w:val="21"/>
              </w:rPr>
              <w:t>第三十二条</w:t>
            </w:r>
            <w:r>
              <w:rPr>
                <w:rFonts w:hint="eastAsia" w:ascii="Times New Roman" w:hAnsi="Times New Roman"/>
                <w:szCs w:val="21"/>
              </w:rPr>
              <w:t>：“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1-2.《互联网上网服务营业场所管理条例》(2002年，国务院令第363号；根据2011年1月8日《国务院关于废止和修改部分行政法规的决定》第一次修订；根据 2016年2月6日国务院令第666号《国务院关于修改部分行政法规的决定》第二次修订) 第十条：“互联网上网服务营业场所经营单位申请从事互联网上网服务经营活动，应当向县级以上地方人民政府文化行政部门提出申请，并提交下列文件：(一)企业营业执照和章程;(二)法定代表人或者主要负责人的身份证明材料;(三)资金信用证明;(四)营业场所产权证明或者租赁意向书;(五)依法需要提交的其他文件。”第十一条：“文化行政部门应当自收到申请之日起20个工作日内作出决定；经审查，符合条件的，发给同意筹建的批准文件。申请人完成筹建后，持同意筹建的批准文件到同级公安机关申请信息网络安全和消防安全审核。公安机关应当自收到申请之日起20个工作日内作出决定；经实地检查并审核合格的，发给批准文件。申请人持公安机关批准文件向文化行政部门申请最终审核。文化行政部门应当自收到申请之日起15个工作日内依据本条例第八条的规定作出决定；经实地检查并审核合格的，发给《网络文化经营许可证》。对申请人的申请，文化行政部门经审查不符合条件的，或者公安机关经审核不合格的，应当分别向申请人书面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2-2.同1-2.《互联网上网服务营业场所管理条例》(2002年，国务院令第363号；根据2011年1月8日《国务院关于废止和修改部分行政法规的决定》第一次修订；根据 2016年2月6日《国务院关于修改部分行政法规的决定》第二次修订) 第十一条</w:t>
            </w:r>
          </w:p>
          <w:p>
            <w:pPr>
              <w:spacing w:line="360" w:lineRule="exact"/>
              <w:ind w:firstLine="420" w:firstLineChars="200"/>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rPr>
                <w:rFonts w:ascii="Times New Roman" w:hAnsi="Times New Roman"/>
                <w:szCs w:val="21"/>
              </w:rPr>
            </w:pPr>
            <w:r>
              <w:rPr>
                <w:rFonts w:hint="eastAsia" w:ascii="Times New Roman" w:hAnsi="Times New Roman"/>
                <w:szCs w:val="21"/>
              </w:rPr>
              <w:t>3-3.同2-2</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《互联网上网服务营业场所管理条例》、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表2-103</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cs="仿宋_GB2312"/>
                <w:szCs w:val="21"/>
              </w:rPr>
            </w:pPr>
            <w:r>
              <w:rPr>
                <w:rFonts w:hint="eastAsia" w:ascii="Times New Roman" w:hAnsi="Times New Roman" w:cs="仿宋_GB2312"/>
                <w:szCs w:val="21"/>
              </w:rPr>
              <w:t>内部资料性出版物准印证核发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pStyle w:val="10"/>
              <w:spacing w:beforeAutospacing="0" w:afterAutospacing="0" w:line="360" w:lineRule="exact"/>
              <w:ind w:firstLine="420" w:firstLineChars="200"/>
              <w:rPr>
                <w:rFonts w:ascii="Times New Roman" w:hAnsi="Times New Roman"/>
                <w:kern w:val="2"/>
                <w:sz w:val="21"/>
                <w:szCs w:val="21"/>
              </w:rPr>
            </w:pPr>
            <w:r>
              <w:rPr>
                <w:rFonts w:hint="eastAsia" w:ascii="Times New Roman" w:hAnsi="Times New Roman"/>
                <w:kern w:val="2"/>
                <w:sz w:val="21"/>
                <w:szCs w:val="21"/>
              </w:rPr>
              <w:t>1.《印刷业管理条例》（2001年</w:t>
            </w:r>
            <w:r>
              <w:rPr>
                <w:rFonts w:hint="eastAsia" w:ascii="Times New Roman" w:hAnsi="Times New Roman"/>
                <w:color w:val="444444"/>
                <w:sz w:val="21"/>
                <w:szCs w:val="21"/>
              </w:rPr>
              <w:t>，</w:t>
            </w:r>
            <w:r>
              <w:rPr>
                <w:rFonts w:hint="eastAsia" w:ascii="Times New Roman" w:hAnsi="Times New Roman"/>
                <w:kern w:val="2"/>
                <w:sz w:val="21"/>
                <w:szCs w:val="21"/>
              </w:rPr>
              <w:t>国务院第315号令，根据2016年2月6日《国务院关于修改部分行政法规的决定》修订）第十九条第一款、第三款：“印刷企业接受委托印刷内部资料性出版物的，必须验证县级以上地方人民政府出版行政部门核发的准印证。出版行政部门应当自收到印刷内部资料性出版物或者印刷宗教内容的内部资料性出版物的申请之日起30日内作出是否核发准印证的决定，并通知申请人；逾期不作出决定的，视为同意印刷。”</w:t>
            </w:r>
          </w:p>
          <w:p>
            <w:pPr>
              <w:pStyle w:val="10"/>
              <w:spacing w:beforeAutospacing="0" w:afterAutospacing="0" w:line="360" w:lineRule="exact"/>
              <w:ind w:firstLine="420" w:firstLineChars="200"/>
              <w:rPr>
                <w:rFonts w:ascii="Times New Roman" w:hAnsi="Times New Roman"/>
                <w:kern w:val="2"/>
                <w:sz w:val="21"/>
                <w:szCs w:val="21"/>
              </w:rPr>
            </w:pPr>
            <w:r>
              <w:rPr>
                <w:rFonts w:hint="eastAsia" w:ascii="Times New Roman" w:hAnsi="Times New Roman"/>
                <w:kern w:val="2"/>
                <w:sz w:val="21"/>
                <w:szCs w:val="21"/>
              </w:rPr>
              <w:t>2.《内部资料性出版物管理办法》（2015年，国家新闻出版广电总局令第2号）第三条：“对内部资料的编印，实行核发《内部资料性印刷品准印证》(以下简称《准印证》)管理。未经批准取得《准印证》,任何单位和个人不得从事内部资料的编印活动。”</w:t>
            </w:r>
            <w:r>
              <w:rPr>
                <w:rFonts w:hint="eastAsia" w:ascii="Times New Roman" w:hAnsi="Times New Roman"/>
                <w:sz w:val="21"/>
                <w:szCs w:val="21"/>
              </w:rPr>
              <w:t>第四条：“编印内部资料，应当向所在地省、自治区、直辖市新闻出版行政部门提出申请，经审核批准，领取《准印证》后，方可从事编印活动。”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Style w:val="14"/>
                <w:rFonts w:hint="eastAsia" w:ascii="Times New Roman" w:hAnsi="Times New Roman"/>
                <w:b w:val="0"/>
                <w:szCs w:val="21"/>
              </w:rPr>
              <w:t>第三十二条</w:t>
            </w:r>
            <w:r>
              <w:rPr>
                <w:rFonts w:hint="eastAsia" w:ascii="Times New Roman" w:hAnsi="Times New Roman"/>
                <w:szCs w:val="21"/>
              </w:rPr>
              <w:t>：“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rPr>
                <w:rFonts w:ascii="Times New Roman" w:hAnsi="Times New Roman"/>
                <w:szCs w:val="21"/>
              </w:rPr>
            </w:pPr>
            <w:r>
              <w:rPr>
                <w:rFonts w:hint="eastAsia" w:ascii="Times New Roman" w:hAnsi="Times New Roman"/>
                <w:szCs w:val="21"/>
              </w:rPr>
              <w:t>1-2.《印刷业管理条例》（2001年，国务院第315号令，根据2016年2月6日《国务院关于修改部分行政法规的决定》修订）第十九条第三款：“出版行政部门应当自收到印刷内部资料性出版物或者印刷宗教内容的内部资料性出版物的申请之日起30日内作出是否核发准印证的决定，并通知申请人；逾期不作出决定的，视为同意印刷。”</w:t>
            </w:r>
          </w:p>
          <w:p>
            <w:pPr>
              <w:spacing w:line="360" w:lineRule="exact"/>
              <w:ind w:firstLine="420" w:firstLineChars="200"/>
              <w:jc w:val="left"/>
              <w:rPr>
                <w:rFonts w:ascii="Times New Roman" w:hAnsi="Times New Roman"/>
                <w:szCs w:val="21"/>
              </w:rPr>
            </w:pPr>
            <w:r>
              <w:rPr>
                <w:rFonts w:hint="eastAsia" w:ascii="Times New Roman" w:hAnsi="Times New Roman"/>
                <w:szCs w:val="21"/>
              </w:rPr>
              <w:t>1-3.《内部资料性出版物管理办法》（2015年，国家新闻出版广电总局令第2号）第四条：“编印内部资料，应当向所在地省、自治区、直辖市新闻出版行政部门提出申请，经审核批准，领取《准印证》后，方可从事编印活动。”第五条：“申请编印一次性内部资料，须符合以下条件：(一)申请方应为党政机关、企事业、社会团体等单位；(二)编印目的及发送范围符合本办法第二条的规定，编印内容与编印单位的性质和能力相一致；(三)稿件内容符合本办法第十三条的规定；(四)拟委托印刷的单位为出版物印刷企业。”第六条：“申请编印一次性内部资料，应当提交申请书和稿件清样。申请书应当载明一次性内部资料的名称、申请单位、编印目的、内容简介、印数、印张数、开本、发送对象、印刷单位等项目。”第七条：“申请编印连续性内部资料，须符合以下条件：(一)申请方应为党政机关、企事业、社会团体等单位；(二)有确定的名称，名称应充分体现编印宗旨及地域、行业或单位特征；(三)有确定的编印目的和固定的发送对象，编印目的应限于与编印单位业务相一致的工作指导、信息交流;编印内容应与编印单位的性质和能力相一致；企业编印散页连续性内部资料，应主要用于指导本企业的生产经营、企业文化和精神文明建设；(四)有适应编印活动需要的人员；(五)有稳定的资金来源和固定的办公场所；(六)拟委托印刷的单位为出版物印刷企业。”第八条：“编印连续性内部资料，应当提交下列材料：(一)编印连续性内部资料的申请书，内容包括：连续性内部资料的名称、编印目的、栏目设置、印数、印制周期、开本、发送对象和经费来源等项目；(二)编印单位资质证明材料；(三)编印人员的基本情况及身份证明；(四)拟承印单位的《印刷经营许可证》复印件。”第九条：“具有下列情形之一的，不予核发内部资料《准印证》：(一)不符合本办法第二条、第五条或第七条规定的审批条件的；(二)广告印刷品、介绍推广本单位基本情况的宣传资料，或者仅含有历法信息及广告内容的挂历、台历、年历等无需申领《准印证》的一般印刷品；(三)中小学教科书及教辅材料、地图、个人画册、个人文集等应由出版单位出版的作品。”第十条：“</w:t>
            </w:r>
            <w:r>
              <w:rPr>
                <w:rFonts w:ascii="Times New Roman" w:hAnsi="Times New Roman" w:cs="Arial"/>
                <w:szCs w:val="21"/>
                <w:shd w:val="clear" w:color="auto" w:fill="FFFFFF"/>
              </w:rPr>
              <w:t>省、自治区、直辖市新闻出版行政部门自受理申请之日起20日内作出审批决定。决定批准的，核发一次性内部资料或者连续性内部资料《准印证》；不予批准的，应当书面说明理由。</w:t>
            </w:r>
            <w:r>
              <w:rPr>
                <w:rFonts w:hint="eastAsia" w:ascii="Times New Roman" w:hAnsi="Times New Roman"/>
                <w:szCs w:val="21"/>
              </w:rPr>
              <w:t>”</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2-2.同1-2</w:t>
            </w:r>
          </w:p>
          <w:p>
            <w:pPr>
              <w:spacing w:line="360" w:lineRule="exact"/>
              <w:ind w:firstLine="420" w:firstLineChars="200"/>
              <w:jc w:val="left"/>
              <w:rPr>
                <w:rFonts w:ascii="Times New Roman" w:hAnsi="Times New Roman"/>
                <w:szCs w:val="21"/>
              </w:rPr>
            </w:pPr>
            <w:r>
              <w:rPr>
                <w:rFonts w:hint="eastAsia" w:ascii="Times New Roman" w:hAnsi="Times New Roman"/>
                <w:szCs w:val="21"/>
              </w:rPr>
              <w:t>2-3.同1-3.《内部资料性出版物管理办法》（2015年，国家新闻出版广电总局令第2号）第四条、第十条</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3-3.同1-2，2-3</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《印刷业管理条例》、《内部资料性出版物管理办法》、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表2-104</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出版物零售单位和个体工商户设立、变更审批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出版管理条例》（根据2016年02月6日《国务院关于修改部分行政法规的决定》(国务院令第666号)第四次修订。）第三十五条第二款：“单位和个体工商户从事出版物零售业务的，须经县级人民政府出版行政主管部门审核许可，取得《出版物经营许可证》。”</w:t>
            </w:r>
          </w:p>
          <w:p>
            <w:pPr>
              <w:spacing w:line="360" w:lineRule="exact"/>
              <w:ind w:firstLine="420" w:firstLineChars="200"/>
              <w:rPr>
                <w:rFonts w:ascii="Times New Roman" w:hAnsi="Times New Roman"/>
                <w:kern w:val="0"/>
                <w:szCs w:val="21"/>
              </w:rPr>
            </w:pPr>
            <w:r>
              <w:rPr>
                <w:rFonts w:hint="eastAsia" w:ascii="Times New Roman" w:hAnsi="Times New Roman"/>
                <w:szCs w:val="21"/>
              </w:rPr>
              <w:t>2.《出版物市场管理规定》（2016年，国家新闻出版总局和商务部令第10号）第三条：“</w:t>
            </w:r>
            <w:r>
              <w:rPr>
                <w:rFonts w:ascii="Times New Roman" w:hAnsi="Times New Roman"/>
                <w:kern w:val="0"/>
                <w:szCs w:val="21"/>
              </w:rPr>
              <w:t>国家对出版物批发、零售依法实行许可制度。从事出版物批发、零售活动的单位和个人凭出版物经营许可证开展出版物批发、零售活动；未经许可，任何单位和个人不得从事出版物批发、零售活动。任何单位和个人不得委托非出版物批发、零售单位或者个人销售出版物或者代理出版物销售业务。</w:t>
            </w:r>
            <w:r>
              <w:rPr>
                <w:rFonts w:hint="eastAsia" w:ascii="Times New Roman" w:hAnsi="Times New Roman"/>
                <w:szCs w:val="21"/>
              </w:rPr>
              <w:t>”第十条第一款、第二款：“单位、个人申请从事出版物零售业务，须报所在地县级人民政府出版行政主管部门审批。县级人民政府出版行政主管部门应当自受理申请之日起20个工作日内作出批准或者不予批准的决定。批准的，由县级人民政府出版行政主管部门颁发出版物经营许可证，并报上一级出版行政主管部门备案；其中门店营业面积在5000平方米以上的应同时报省级人民政府出版行政主管部门备案。不予批准的，应当向申请单位、个人书面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hd w:val="clear" w:color="auto" w:fill="FFFFFF"/>
              <w:spacing w:line="360" w:lineRule="exact"/>
              <w:ind w:firstLine="480"/>
              <w:rPr>
                <w:rFonts w:ascii="Times New Roman" w:hAnsi="Times New Roman"/>
                <w:szCs w:val="21"/>
              </w:rPr>
            </w:pPr>
            <w:r>
              <w:rPr>
                <w:rFonts w:hint="eastAsia" w:ascii="Times New Roman" w:hAnsi="Times New Roman"/>
                <w:szCs w:val="21"/>
              </w:rPr>
              <w:t>1-2.《出版物市场管理规定》（2016年，国家新闻出版总局和商务部令第10号）第十条：“单位、个人申请从事出版物零售业务，须报所在地县级人民政府出版行政主管部门审批。县级人民政府出版行政主管部门应当自受理申请之日起20个工作日内作出批准或者不予批准的决定。批准的，由县级人民政府出版行政主管部门颁发出版物经营许可证，并报上一级出版行政主管部门备案；其中门店营业面积在5000平方米以上的应同时报省级人民政府出版行政主管部门备案。不予批准的，应当向申请单位、个人书面说明理由。申请材料包括下列书面材料：（一）营业执照正副本复印件；（二）申请书，载明单位或者个人基本情况及申请事项；（三）经营场所的使用权证明。”</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rPr>
                <w:rFonts w:ascii="Times New Roman" w:hAnsi="Times New Roman"/>
                <w:szCs w:val="21"/>
              </w:rPr>
            </w:pPr>
            <w:r>
              <w:rPr>
                <w:rFonts w:hint="eastAsia" w:ascii="Times New Roman" w:hAnsi="Times New Roman"/>
                <w:szCs w:val="21"/>
              </w:rPr>
              <w:t>3-3.《出版管理条例》（根据2016年02月6日《国务院关于修改部分行政法规的决定》(国务院令第666号)第四次修订。）第三十五条第二款：“单位和个体工商户从事出版物零售业务的，须经县级人民政府出版行政主管部门审核许可，取得《出版物经营许可证》。”</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《出版管理条例》、《出版物市场管理规定》、</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表2-105</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电影放映单位设立审批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hd w:val="clear" w:color="auto" w:fill="FFFFFF"/>
              <w:spacing w:line="360" w:lineRule="exact"/>
              <w:ind w:firstLine="420" w:firstLineChars="200"/>
              <w:rPr>
                <w:rFonts w:ascii="Times New Roman" w:hAnsi="Times New Roman"/>
                <w:szCs w:val="21"/>
              </w:rPr>
            </w:pPr>
            <w:r>
              <w:rPr>
                <w:rFonts w:hint="eastAsia" w:ascii="Times New Roman" w:hAnsi="Times New Roman"/>
                <w:szCs w:val="21"/>
              </w:rPr>
              <w:t>《电影管理条例》（2001年，国务院令第342号）第五条：“</w:t>
            </w:r>
            <w:r>
              <w:rPr>
                <w:rFonts w:ascii="Times New Roman" w:hAnsi="Times New Roman"/>
                <w:szCs w:val="21"/>
              </w:rPr>
              <w:t>国家对电影摄制、进口、出口、发行、放映和电影片公映实行许可制度。未经许可，任何单位和个人不得从事电影片的摄制、进口、发行、放映活动，不得进口、出口、发行、放映未取得许可证的电影片。依照本条例发放的许可证和批准文件，不得出租、出借、出售或者以其他任何形式转让。</w:t>
            </w:r>
            <w:r>
              <w:rPr>
                <w:rFonts w:hint="eastAsia" w:ascii="Times New Roman" w:hAnsi="Times New Roman"/>
                <w:szCs w:val="21"/>
              </w:rPr>
              <w:t>”第三十八条：“设立电影放映单位，应当向所在地县或者设区的市人民政府电影行政部门提出申请。所在地县或者设区的市人民政府电影行政部门应当自收到申请书之日起60日内作出批准或者不批准的决定，并通知申请人。批准的，发给《电影放映经营许可证》，申请人持《电影放映经营许可证》到所在地工商行政管理部门登记，依法领取营业执照；不批准的，应当说明理由。”（根据“国务院关于第六批取消和调整行政审批项目的决定 (国发〔2012〕52号)”，电影放映单位设立审批事项已下放至县级人民政府广播电影电视行政部门；根据“国务院关于取消和调整一批行政审批项目等事项的决定 (国发〔2014〕27号)”，该权力项目已调整为后置审批事项。设立电影放映单位，应当先取得工商部门核发的《营业执照》后再向所在地县级人民政府广播电影电视行政部门提出申请许可。）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电影管理条例》（2001年，国务院令第342号）第三十六条：“设立电影发行单位、电影放映单位，应当具备下列条件：（一）有电影发行单位、电影放映单位的名称、章程；（二）有确定的业务范围；（三）有适应业务范围需要的组织机构和专业人员；（四）有适应业务范围需要的资金、场所和设备；（五）法律、行政法规规定的其他条件。”第三十八条：“设立电影放映单位，应当向所在地县或者设区的市人民政府电影行政部门提出申请。所在地县或者设区的市人民政府电影行政部门应当自收到申请书之日起60日内作出批准或者不批准的决定，并通知申请人。批准的，发给《电影放映经营许可证》，申请人持《电影放映经营许可证》到所在地工商行政管理部门登记，依法领取营业执照；不批准的，应当说明理由。”（根据“国务院关于第六批取消和调整行政审批项目的决定 (国发〔2012〕52号)”，电影放映单位设立审批事项已下放至县级人民政府广播电影电视行政部门；根据“国务院关于取消和调整一批行政审批项目等事项的决定 (国发〔2014〕27号)”，该权力项目已调整为后置审批事项。设立电影放映单位，应当先取得工商部门核发的《营业执照》后再向所在地县级人民政府广播电影电视行政部门提出申请许可。）</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ascii="Times New Roman" w:hAnsi="Times New Roman"/>
                <w:szCs w:val="21"/>
              </w:rPr>
              <w:t>3-3.</w:t>
            </w:r>
            <w:r>
              <w:rPr>
                <w:rFonts w:hint="eastAsia" w:ascii="Times New Roman" w:hAnsi="Times New Roman"/>
                <w:szCs w:val="21"/>
              </w:rPr>
              <w:t>同1-2.《电影管理条例》（2001年，国务院令第342号）第三十八条。</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4.《中华人民共和国行政许可法》</w:t>
            </w:r>
            <w:r>
              <w:rPr>
                <w:rFonts w:hint="eastAsia" w:ascii="Times New Roman" w:hAnsi="Times New Roman"/>
                <w:bCs/>
                <w:szCs w:val="21"/>
              </w:rPr>
              <w:t>第五条</w:t>
            </w:r>
            <w:r>
              <w:rPr>
                <w:rFonts w:hint="eastAsia" w:ascii="Times New Roman" w:hAnsi="Times New Roman"/>
                <w:szCs w:val="21"/>
              </w:rPr>
              <w:t>：“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《电影管理条例》、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表2-106</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设置卫星电视广播地面接收设施审批（接收境内电视节目）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广播电视管理条例》（1997年08月11日，国务院令第228号；根据2013年12月07日《国务院关于修改部分行政法规的决定》修订）第二十六条：“安装和使用卫星广播电视地面接收设施，应当按照国家有关规定向省、自治区、直辖市人民政府广播电视行政部门申领许可证。进口境外卫星广播电视节目解码器、解压器及其他卫星广播电视地面接收设施，应当经国务院广播电视行政部门审查同意。”（根据“省政府关于公布第四批取消调整行政审批项目和省本级行政许可项目清单的决定 (川府发〔2014〕49号)”，该权力项目已下放至县级人民政府广播电影电视行政部门权限范围）</w:t>
            </w:r>
          </w:p>
          <w:p>
            <w:pPr>
              <w:spacing w:line="360" w:lineRule="exact"/>
              <w:ind w:firstLine="420" w:firstLineChars="200"/>
              <w:rPr>
                <w:rFonts w:ascii="Times New Roman" w:hAnsi="Times New Roman"/>
                <w:szCs w:val="21"/>
              </w:rPr>
            </w:pPr>
            <w:r>
              <w:rPr>
                <w:rFonts w:hint="eastAsia" w:ascii="Times New Roman" w:hAnsi="Times New Roman"/>
                <w:szCs w:val="21"/>
              </w:rPr>
              <w:t>2.《卫星电视广播地面接收设施管理规定》（1993年10月5日，国务院令第129号；根据2013年7月18日国务院令第638号《国务院关于废止和修改部分行政法规的决定》修订）第三条：“国家对卫星地面接收设施的生产、进口、销售、安装和使用实行许可制度。生产、进口、销售、安装和使用卫星地面接收设施许可的条件，由国务院有关行政部门规定。”第七条：“单位设置卫星地面接收设施的，必须向当地县、市人民政府广播电视行政部门提出申请，报省、自治区、直辖市人民政府广播电视行政部门审批，凭审批机关开具的证明购买卫星地面接收设施。卫星地面接收设施安装完毕，由审批机关发给《接收卫星传送的电视节目许可证》。”第八条：“个人不得安装和使用卫星地面接收设施。如有特殊情况，个人确实需要安装和使用卫星地面接收设施并符合国务院广播电影电视行政部门规定的许可条件的，必须向所在单位提出申请，经当地县、市人民政府广播电视行政部门同意后报省、自治区、直辖市人民政府广播电视行政部门审批。”</w:t>
            </w:r>
          </w:p>
          <w:p>
            <w:pPr>
              <w:spacing w:line="360" w:lineRule="exact"/>
              <w:ind w:firstLine="420" w:firstLineChars="200"/>
              <w:rPr>
                <w:rFonts w:ascii="Times New Roman" w:hAnsi="Times New Roman"/>
                <w:szCs w:val="21"/>
              </w:rPr>
            </w:pPr>
            <w:r>
              <w:rPr>
                <w:rFonts w:hint="eastAsia" w:ascii="Times New Roman" w:hAnsi="Times New Roman"/>
                <w:szCs w:val="21"/>
              </w:rPr>
              <w:t xml:space="preserve"> 3.《卫星电视广播地面接收设施管理规定实施细则》（1994年，广播电影电视部令11号）第五条第一款、第二款：“凡需设置卫星地面接收设施接收境内电视节目的单位，必须向当地县级以上(含县级)广播电视行政部门提出申请，报地、市级广播电视行政部门审批。省、自治区、直辖市的直属单位可直接报省、自治区、直辖市广播电视行政部门审批。经审查批准的单位，凭审批机关开具的证明购买卫星地面接收设施。卫星地面接收设施安装完毕，经审批机关检验合格后由其发给《接收卫星传送的境内电视节目许可证》(以下简称《许可证》)，并报省、自治区、直辖市广播电视行政部门、国家安全部门备案。此种《许可证》格式由广播电影电视部统一制定，各省、自治区、直辖市自行印制。（根据“省政府关于公布第四批取消调整行政审批项目和省本级行政许可项目清单的决定 (川府发〔2014〕49号)”，该权力项目已下放至县级人民政府广播电影电视行政部门权限范围）设置卫星地面接收设施专门接收卫星传送的境内教育电视节目的各类学校和教育、教学单位，亦按上述程序办理审批手续。经审查批准的，可由当地教育行政部门负责管理，同时接受广播电视行政部门和公安、国家安全部门的检查和管理。”第六条：“个人不得安装和使用卫星地面接收设施。但在收不到当地电视台、电视转播台、电视差转台、有线电视台(站)的电视节目的地区，个人可申请安装卫星地面接收设施接收境内电视节目。个人需设置卫星地面接收设施的，必须经所在单位同意并持其开具的证明，向当地县级以上(含县级)广播电视行政部门提出申请，经地、市级广播电视行政部门和国家安全部门签署意见后报省、自治区、直辖市广播电视行政部门审批。经审查批准的个人，凭审批机关开具的证明购买卫星地面接收设施。卫星地面接收设施安装完毕，经省、自治区、直辖市广播电视行政部门和国家安全部门检验合格后，由省、自治区、直辖市广播电视行政部门发给《接收卫星传送的境内电视节目许可证》。个人设置的卫星接收天线不得占用公用场所、影响环境美观和领里日常生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ascii="Times New Roman" w:hAnsi="Times New Roman"/>
                <w:szCs w:val="21"/>
              </w:rPr>
              <w:t>1-2.</w:t>
            </w:r>
            <w:r>
              <w:rPr>
                <w:rFonts w:hint="eastAsia" w:ascii="Times New Roman" w:hAnsi="Times New Roman"/>
                <w:szCs w:val="21"/>
              </w:rPr>
              <w:t>《卫星电视广播地面接收设施管理规定》（1993年10月5日，国务院令第129号；根据2013年7月18日国务院令第638号《国务院关于废止和修改部分行政法规的决定》修订）第七条：“单位设置卫星地面接收设施的，必须向当地县、市人民政府广播电视行政部门提出申请，报省、自治区、直辖市人民政府广播电视行政部门审批，凭审批机关开具的证明购买卫星地面接收设施。卫星地面接收设施安装完毕，由审批机关发给《接收卫星传送的电视节目许可证》。”（根据“省政府关于公布第四批取消调整行政审批项目和省本级行政许可项目清单的决定 (川府发〔2014〕49号)”，该权力项目已下放至县级人民政府广播电影电视行政部门权限范围）第八条：“个人不得安装和使用卫星地面接收设施。如有特殊情况，个人确实需要安装和使用卫星地面接收设施并符合国务院广播电影电视行政部门规定的许可条件的，必须向所在单位提出申请，经当地县、市人民政府广播电视行政部门同意后报省、自治区、直辖市人民政府广播电视行政部门审批。”</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1-3.《卫星电视广播地面接收设施管理规定实施细则》（1994年，广播电影电视部令11号）第五条第一款、第二款：“凡需设置卫星地面接收设施接收境内电视节目的单位，必须向当地县级以上(含县级)广播电视行政部门提出申请，报地、市级广播电视行政部门审批。省、自治区、直辖市的直属单位可直接报省、自治区、直辖市广播电视行政部门审批。经审查批准的单位，凭审批机关开具的证明购买卫星地面接收设施。卫星地面接收设施安装完毕，经审批机关检验合格后由其发给《接收卫星传送的境内电视节目许可证》(以下简称《许可证》)，并报省、自治区、直辖市广播电视行政部门、国家安全部门备案。此种《许可证》格式由广播电影电视部统一制定，各省、自治区、直辖市自行印制。（根据“省政府关于公布第四批取消调整行政审批项目和省本级行政许可项目清单的决定 (川府发〔2014〕49号)”，该权力项目已下放至县级人民政府广播电影电视行政部门权限范围）设置卫星地面接收设施专门接收卫星传送的境内教育电视节目的各类学校和教育、教学单位，亦按上述程序办理审批手续。经审查批准的，可由当地教育行政部门负责管理，同时接受广播电视行政部门和公安、国家安全部门的检查和管理。”第六条：“个人不得安装和使用卫星地面接收设施。但在收不到当地电视台、电视转播台、电视差转台、有线电视台(站)的电视节目的地区，个人可申请安装卫星地面接收设施接收境内电视节目。个人需设置卫星地面接收设施的，必须经所在单位同意并持其开具的证明，向当地县级以上(含县级)广播电视行政部门提出申请，经地、市级广播电视行政部门和国家安全部门签署意见后报省、自治区、直辖市广播电视行政部门审批。经审查批准的个人，凭审批机关开具的证明购买卫星地面接收设施。卫星地面接收设施安装完毕，经省、自治区、直辖市广播电视行政部门和国家安全部门检验合格后，由省、自治区、直辖市广播电视行政部门发给《接收卫星传送的境内电视节目许可证》。个人设置的卫星接收天线不得占用公用场所、影响环境美观和领里日常生活。”</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ascii="Times New Roman" w:hAnsi="Times New Roman"/>
                <w:szCs w:val="21"/>
              </w:rPr>
              <w:t>2-2.</w:t>
            </w:r>
            <w:r>
              <w:rPr>
                <w:rFonts w:hint="eastAsia" w:ascii="Times New Roman" w:hAnsi="Times New Roman"/>
                <w:szCs w:val="21"/>
              </w:rPr>
              <w:t>同1-2、1-3</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ascii="Times New Roman" w:hAnsi="Times New Roman"/>
                <w:szCs w:val="21"/>
              </w:rPr>
              <w:t>3-3.</w:t>
            </w:r>
            <w:r>
              <w:rPr>
                <w:rFonts w:hint="eastAsia" w:ascii="Times New Roman" w:hAnsi="Times New Roman"/>
                <w:szCs w:val="21"/>
              </w:rPr>
              <w:t>同1-2.《卫星电视广播地面接收设施管理规定》（1993年10月5日，国务院令第129号；根据2013年7月18日国务院令第638号《国务院关于废止和修改部分行政法规的决定》修订）第七条，第八条第二款</w:t>
            </w:r>
          </w:p>
          <w:p>
            <w:pPr>
              <w:spacing w:line="360" w:lineRule="exact"/>
              <w:ind w:firstLine="420" w:firstLineChars="200"/>
              <w:jc w:val="left"/>
              <w:rPr>
                <w:rFonts w:ascii="Times New Roman" w:hAnsi="Times New Roman"/>
                <w:szCs w:val="21"/>
              </w:rPr>
            </w:pPr>
            <w:r>
              <w:rPr>
                <w:rFonts w:hint="eastAsia" w:ascii="Times New Roman" w:hAnsi="Times New Roman"/>
                <w:szCs w:val="21"/>
              </w:rPr>
              <w:t>3-4.同1-3.《卫星电视广播地面接收设施管理规定实施细则》（1994年，广播电影电视部令11号）第五条第一款、第二款，第六条第三款</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4.《中华人民共和国行政许可法》</w:t>
            </w:r>
            <w:r>
              <w:rPr>
                <w:rFonts w:hint="eastAsia" w:ascii="Times New Roman" w:hAnsi="Times New Roman"/>
                <w:bCs/>
                <w:szCs w:val="21"/>
              </w:rPr>
              <w:t>第五条</w:t>
            </w:r>
            <w:r>
              <w:rPr>
                <w:rFonts w:hint="eastAsia" w:ascii="Times New Roman" w:hAnsi="Times New Roman"/>
                <w:szCs w:val="21"/>
              </w:rPr>
              <w:t>：“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《广播电视管理条例》、《卫星电视广播地面接收设施管理规定》、《卫星电视广播地面接收设施管理规定实施细则》、</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表2-107</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其他印刷品印刷企业设立审批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印刷业管理条例》（2001年，国务院第315号令，根据2016年2月6日《国务院关于修改部分行政法规的决定》修订）第八条：“国家实行印刷经营许可制度。未依照本条例规定取得印刷经营许可证的，任何单位和个人不得从事印刷经营活动。”第十条：“设立从事出版物印刷经营活动的企业，应当向所在地省、自治区、直辖市人民政府出版行政部门提出申请。申请人经审核批准的，取得印刷经营许可证，并持印刷经营许可证向工商行政管理部门申请登记注册，取得营业执照。企业申请从事包装装潢印刷品和其他印刷品印刷经营活动，应当持营业执照向所在地设区的市级人民政府出版行政部门提出申请，经审核批准的，发给印刷经营许可证。个人不得从事出版物、包装装潢印刷品印刷经营活动；个人从事其他印刷品印刷经营活动的，依照本条第二款的规定办理审批手续。”第十一条第一款：“出版行政部门应当自收到依据本条例提出的申请之日起60日内作出批准或者不批准的决定。批准申请的，应当发给印刷经营许可证；不批准申请的，应当通知申请人并说明理由。”第十二条：“印刷业经营者申请兼营或者变更从事出版物、包装装潢印刷品或者其他印刷品印刷经营活动，或者兼并其他印刷业经营者，或者因合并、分立而设立新的印刷业经营者，应当依照本条例第十条的规定办理手续。印刷业经营者变更名称、法定代表人或者负责人、住所或者经营场所等主要登记事项，或者终止印刷经营活动，应当报原批准设立的出版行政部门备案。”</w:t>
            </w:r>
            <w:r>
              <w:rPr>
                <w:rFonts w:hint="eastAsia" w:ascii="Times New Roman" w:hAnsi="Times New Roman"/>
              </w:rPr>
              <w:t xml:space="preserve"> （</w:t>
            </w:r>
            <w:r>
              <w:rPr>
                <w:rFonts w:hint="eastAsia" w:ascii="Times New Roman" w:hAnsi="Times New Roman"/>
                <w:szCs w:val="21"/>
              </w:rPr>
              <w:t>《成都市人民政府关于取消调整行政审批项目的决定》（成府发﹝2016﹞23号）附件“取消调整的行政审批事项目录”第二类“下放管理层级的行政审批事项（共13项）”中的第7项。下放至县级审批）。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hd w:val="clear" w:color="auto" w:fill="FFFFFF"/>
              <w:spacing w:line="360" w:lineRule="exact"/>
              <w:ind w:firstLine="480"/>
              <w:rPr>
                <w:rFonts w:ascii="Times New Roman" w:hAnsi="Times New Roman"/>
                <w:szCs w:val="21"/>
              </w:rPr>
            </w:pPr>
            <w:r>
              <w:rPr>
                <w:rFonts w:hint="eastAsia" w:ascii="Times New Roman" w:hAnsi="Times New Roman"/>
                <w:szCs w:val="21"/>
              </w:rPr>
              <w:t>1-2.《印刷业管理条例》（2001年，国务院第315号令，根据2016年2月6日《国务院关于修改部分行政法规的决定》修订）第九条：“企业从事印刷经营活动，应当具备下列条件：(一)有企业的名称、章程；(二)有确定的业务范围；(三)有适应业务范围需要的生产经营场所和必要的资金、设备等生产经营条件；(四)有适应业务范围需要的组织机构和人员；(五)有关法律、行政法规规定的其他条件。审批从事印刷经营活动申请，除依照前款规定外，还应当符合国家有关印刷企业总量、结构和布局的规划。”第十条第二款、第三款：“企业申请从事包装装潢印刷品和其他印刷品印刷经营活动，应当持营业执照向所在地设区的市级人民政府出版行政部门提出申请，经审核批准的，发给印刷经营许可证。个人不得从事出版物、包装装潢印刷品印刷经营活动；个人从事其他印刷品印刷经营活动的，依照本条第二款的规定办理审批手续。”第十一条第一款：“出版行政部门应当自收到依据本条例提出的申请之日起60日内作出批准或者不批准的决定。批准申请的，应当发给印刷经营许可证；不批准申请的，应当通知申请人并说明理由。”第十二条：“印刷业经营者申请兼营或者变更从事出版物、包装装潢印刷品或者其他印刷品印刷经营活动，或者兼并其他印刷业经营者，或者因合并、分立而设立新的印刷业经营者，应当依照本条例第十条的规定办理手续。印刷业经营者变更名称、法定代表人或者负责人、住所或者经营场所等主要登记事项，或者终止印刷经营活动，应当报原批准设立的出版行政部门备案。”</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2-2.同1-2.《印刷业管理条例》（2001年，国务院第315号令，根据2016年2月6日《国务院关于修改部分行政法规的决定》修订）第十条第二款、第三款，第十二条</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《印刷业管理条例》、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表2-108</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清真食品登记证核发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ind w:firstLine="315" w:firstLineChars="150"/>
              <w:jc w:val="left"/>
              <w:rPr>
                <w:rFonts w:ascii="Times New Roman" w:hAnsi="Times New Roman" w:eastAsia="微软雅黑" w:cs="Tahoma"/>
                <w:color w:val="000000"/>
                <w:kern w:val="0"/>
                <w:szCs w:val="21"/>
              </w:rPr>
            </w:pPr>
            <w:r>
              <w:rPr>
                <w:rFonts w:ascii="Times New Roman" w:hAnsi="Times New Roman"/>
                <w:szCs w:val="21"/>
              </w:rPr>
              <w:t>《成都市清真食品管理规定》</w:t>
            </w:r>
            <w:r>
              <w:rPr>
                <w:rFonts w:hint="eastAsia" w:ascii="Times New Roman" w:hAnsi="Times New Roman"/>
                <w:szCs w:val="21"/>
              </w:rPr>
              <w:t>（</w:t>
            </w:r>
            <w:r>
              <w:rPr>
                <w:rFonts w:ascii="Times New Roman" w:hAnsi="Times New Roman"/>
                <w:szCs w:val="21"/>
              </w:rPr>
              <w:t>2004年8月26日成都市第十四届人民代表大会常务委员会第九次会议通过，2004年11月30日四川省第十届人民代表大会常务委员会第十二次会议批准；根据2015年2月26日成都市第十六届人民代表大会常务委员会第十四次会议通过，2015年7月22日四川省第十二届人民代表大会常务委员会第十七次会议批准的《关于修改〈成都市清真食品管理规定〉的决定》修正。</w:t>
            </w:r>
            <w:r>
              <w:rPr>
                <w:rFonts w:hint="eastAsia" w:ascii="Times New Roman" w:hAnsi="Times New Roman"/>
                <w:szCs w:val="21"/>
              </w:rPr>
              <w:t>）第六条：“申请从事清真食品生产、经营的，应当向区（市）县民族事务行政主管部门申请清真食品登记。”</w:t>
            </w:r>
            <w:r>
              <w:rPr>
                <w:rFonts w:ascii="Times New Roman" w:hAnsi="Times New Roman" w:eastAsia="微软雅黑" w:cs="Tahoma"/>
                <w:color w:val="000000"/>
                <w:kern w:val="0"/>
                <w:szCs w:val="21"/>
              </w:rPr>
              <w:t xml:space="preserve"> </w:t>
            </w:r>
            <w:r>
              <w:rPr>
                <w:rFonts w:ascii="Times New Roman" w:hAnsi="Times New Roman"/>
                <w:szCs w:val="21"/>
              </w:rPr>
              <w:t>第七条</w:t>
            </w:r>
            <w:r>
              <w:rPr>
                <w:rFonts w:hint="eastAsia" w:ascii="Times New Roman" w:hAnsi="Times New Roman"/>
                <w:szCs w:val="21"/>
              </w:rPr>
              <w:t>：“</w:t>
            </w:r>
            <w:r>
              <w:rPr>
                <w:rFonts w:ascii="Times New Roman" w:hAnsi="Times New Roman"/>
                <w:szCs w:val="21"/>
              </w:rPr>
              <w:t>申请清真食品登记应当具备本规定第五条规定的条件，并提供下列文件和资料：（一）清真食品登记申请；（二）工商营业执照和食品生产、食品流通或者餐饮服务许可证复印件，并查验原件；（三）法定代表人、负责人照片、身份证复印件；（四）食用清真食品的少数民族人员工作岗位及所占比例情况；（五）清真食品管理制度。清真食品生产、加工企业除提供前款所列材料外，还应当提供拟生产产品的包装、标签、说明书的式样。</w:t>
            </w:r>
            <w:r>
              <w:rPr>
                <w:rFonts w:hint="eastAsia" w:ascii="Times New Roman" w:hAnsi="Times New Roman"/>
                <w:szCs w:val="21"/>
              </w:rPr>
              <w:t>”</w:t>
            </w:r>
            <w:r>
              <w:rPr>
                <w:rFonts w:ascii="Times New Roman" w:hAnsi="Times New Roman"/>
                <w:szCs w:val="21"/>
              </w:rPr>
              <w:t>第八条</w:t>
            </w:r>
            <w:r>
              <w:rPr>
                <w:rFonts w:hint="eastAsia" w:ascii="Times New Roman" w:hAnsi="Times New Roman"/>
                <w:szCs w:val="21"/>
              </w:rPr>
              <w:t>：“</w:t>
            </w:r>
            <w:r>
              <w:rPr>
                <w:rFonts w:ascii="Times New Roman" w:hAnsi="Times New Roman"/>
                <w:szCs w:val="21"/>
              </w:rPr>
              <w:t>区（市）县民族事务行政主管部门应当在收到经营者齐备的申请材料之日起十个工作日内，对符合规定条件的发给清真食品登记证；对不符合条件的应当书面说明理由。</w:t>
            </w:r>
            <w:r>
              <w:rPr>
                <w:rFonts w:hint="eastAsia" w:ascii="Times New Roman" w:hAns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成都市清真食品管理规定》（2004年8月26日成都市第十四届人民代表大会常务委员会第九次会议通过，2004年11月30日四川省第十届人民代表大会常务委员会第十二次会议批准；根据2015年2月26日成都市第十六届人民代表大会常务委员会第十四次会议通过，2015年7月22日四川省第十二届人民代表大会常务委员会第十七次会议批准的《关于修改〈成都市清真食品管理规定〉的决定》修正。）第六条：“申请从事清真食品生产、经营的，应当向区（市）县民族事务行政主管部门申请清真食品登记。” 第七条：“申请清真食品登记应当具备本规定第五条规定的条件，并提供下列文件和资料：（一）清真食品登记申请；（二）工商营业执照和食品生产、食品流通或者餐饮服务许可证复印件，并查验原件；（三）法定代表人、负责人照片、身份证复印件；（四）食用清真食品的少数民族人员工作岗位及所占比例情况；（五）清真食品管理制度。清真食品生产、加工企业除提供前款所列材料外，还应当提供拟生产产品的包装、标签、说明书的式样。”第八条：“区（市）县民族事务行政主管部门应当在收到经营者齐备的申请材料之日起十个工作日内，对符合规定条件的发给清真食品登记证；对不符合条件的应当书面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《成都市清真食品管理规定》、</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表2-109</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动物诊疗许可证核发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w:t>
            </w:r>
            <w:r>
              <w:rPr>
                <w:rFonts w:hint="eastAsia" w:ascii="Times New Roman" w:hAnsi="Times New Roman"/>
              </w:rPr>
              <w:t xml:space="preserve"> 《</w:t>
            </w:r>
            <w:r>
              <w:rPr>
                <w:rFonts w:hint="eastAsia" w:ascii="Times New Roman" w:hAnsi="Times New Roman"/>
                <w:szCs w:val="21"/>
              </w:rPr>
              <w:t>中华人民共和国动物防疫法》（1997年7月3日第八届全国人民代表大会常务委员会第二十六次会议通过　2007年8月30日第十届全国人民代表大会常务委员会第二十九次会议第一次修订　根据2013年6月29日第十二届全国人民代表大会常务委员会第三次会议《关于修改〈中华人民共和国文物保护法〉等十二部法律的决定》第一次修正　根据2015年4月24日第十二届全国人民代表大会常务委员会第十四次会议《关于修改〈中华人民共和国电力法〉等六部法律的决定》第二次修正　2021年1月22日第十三届全国人民代表大会常务委员会第二十五次会议第二次修订）</w:t>
            </w:r>
            <w:r>
              <w:rPr>
                <w:rFonts w:hint="eastAsia" w:ascii="Times New Roman" w:hAnsi="Times New Roman"/>
              </w:rPr>
              <w:t xml:space="preserve"> </w:t>
            </w:r>
            <w:r>
              <w:rPr>
                <w:rFonts w:hint="eastAsia" w:ascii="Times New Roman" w:hAnsi="Times New Roman"/>
                <w:szCs w:val="21"/>
              </w:rPr>
              <w:t>第六十二条：“从事动物诊疗活动的机构，应当向县级以上地方人民政府农业农村主管部门申请动物诊疗许可证。受理申请的农业农村主管部门应当依照本法和《中华人民共和国行政许可法》的规定进行审查。经审查合格的，发给动物诊疗许可证；不合格的，应当通知申请人并说明理由。</w:t>
            </w:r>
            <w:r>
              <w:rPr>
                <w:rFonts w:ascii="Times New Roman" w:hAnsi="Times New Roman"/>
                <w:szCs w:val="21"/>
              </w:rPr>
              <w:t>”</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2.《动物诊疗机构管理办法》（2008年11月26日农业部令第19号公布，2016年5月30日农业部令2016年第3号、2017年11月30日农业部令2017年第8号修订））第二条：“在中华人民共和国境内从事动物诊疗活动的机构，应当遵守本办法。本办法所称动物诊疗，是指动物疾病的预防、诊断、治疗和动物绝育手术等经营性活动。”第三条：“农业部负责全国动物诊疗机构的监督管理。县级以上地方人民政府兽医主管部门负责本行政区域内动物诊疗机构的管理。县级以上地方人民政府设立的动物卫生监督机构负责本行政区域内动物诊疗机构的监督执法工作。”</w:t>
            </w:r>
            <w:r>
              <w:rPr>
                <w:rFonts w:hint="eastAsia" w:ascii="Times New Roman" w:hAnsi="Times New Roman"/>
              </w:rPr>
              <w:t xml:space="preserve"> </w:t>
            </w:r>
            <w:r>
              <w:rPr>
                <w:rFonts w:hint="eastAsia" w:ascii="Times New Roman" w:hAnsi="Times New Roman"/>
                <w:szCs w:val="21"/>
              </w:rPr>
              <w:t>第四条：“国家实行动物诊疗许可制度。从事动物诊疗活动的机构，应当取得动物诊疗许可证，并在规定的诊疗活动范围内开展动物诊疗活动。”第七条：“设立动物诊疗机构，应当向动物诊疗场所所在地的发证机关提出申请，并提交下列材料：（一）动物诊疗许可证申请表；（二）动物诊疗场所地理方位图、室内平面图和各功能区布局图；（三）动物诊疗场所使用权证明；（四）法定代表人（负责人）身份证明；</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五）执业兽医师资格证书原件及复印件；（六）设施设备清单；（七）管理制度文本；（八）执业兽医和服务人员的健康证明材料。申请材料不齐全或者不符合规定条件的，发证机关应当自收到申请材料之日起5个工作日内一次告知申请人需补正的内容。”第九条：“发证机关受理申请后，应当在20个工作日内完成对申请材料的审核和对动物诊疗场所的实地考查。符合规定条件的，发证机关应当向申请人颁发动物诊疗许可证；不符合条件的，书面通知申请人，并说明理由。专门从事水生动物疫病诊疗的，发证机关在核发动物诊疗许可证时，应当征求同级渔业行政主管部门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 《中华人民共和国动物防疫法》（1997年7月3日第八届全国人民代表大会常务委员会第二十六次会议通过　2007年8月30日第十届全国人民代表大会常务委员会第二十九次会议第一次修订　根据2013年6月29日第十二届全国人民代表大会常务委员会第三次会议《关于修改〈中华人民共和国文物保护法〉等十二部法律的决定》第一次修正　根据2015年4月24日第十二届全国人民代表大会常务委员会第十四次会议《关于修改〈中华人民共和国电力法〉等六部法律的决定》第二次修正　2021年1月22日第十三届全国人民代表大会常务委员会第二十五次会议第二次修订） 第六十二条：“从事动物诊疗活动的机构，应当向县级以上地方人民政府农业农村主管部门申请动物诊疗许可证。受理申请的农业农村主管部门应当依照本法和《中华人民共和国行政许可法》的规定进行审查。经审查合格的，发给动物诊疗许可证；不合格的，应当通知申请人并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1-3.</w:t>
            </w:r>
            <w:r>
              <w:rPr>
                <w:rFonts w:ascii="Times New Roman" w:hAnsi="Times New Roman"/>
                <w:szCs w:val="21"/>
              </w:rPr>
              <w:t xml:space="preserve"> </w:t>
            </w:r>
            <w:r>
              <w:rPr>
                <w:rFonts w:hint="eastAsia" w:ascii="Times New Roman" w:hAnsi="Times New Roman"/>
                <w:szCs w:val="21"/>
              </w:rPr>
              <w:t>《动物诊疗机构管理办法》（2008年11月26日农业部令第19号公布，2016年5月30日农业部令2016年第3号、2017年11月30日农业部令2017年第8号修订））第二条：“在中华人民共和国境内从事动物诊疗活动的机构，应当遵守本办法。本办法所称动物诊疗，是指动物疾病的预防、诊断、治疗和动物绝育手术等经营性活动。”第三条：“农业部负责全国动物诊疗机构的监督管理。县级以上地方人民政府兽医主管部门负责本行政区域内动物诊疗机构的管理。县级以上地方人民政府设立的动物卫生监督机构负责本行政区域内动物诊疗机构的监督执法工作。” 第四条：“国家实行动物诊疗许可制度。从事动物诊疗活动的机构，应当取得动物诊疗许可证，并在规定的诊疗活动范围内开展动物诊疗活动。”第七条：“设立动物诊疗机构，应当向动物诊疗场所所在地的发证机关提出申请，并提交下列材料：（一）动物诊疗许可证申请表；（二）动物诊疗场所地理方位图、室内平面图和各功能区布局图；（三）动物诊疗场所使用权证明；（四）法定代表人（负责人）身份证明；（五）执业兽医师资格证书原件及复印件；（六）设施设备清单；（七）管理制度文本；（八）执业兽医和服务人员的健康证明材料。申请材料不齐全或者不符合规定条件的，发证机关应当自收到申请材料之日起5个工作日内一次告知申请人需补正的内容。”第九条：“发证机关受理申请后，应当在20个工作日内完成对申请材料的审核和对动物诊疗场所的实地考查。符合规定条件的，发证机关应当向申请人颁发动物诊疗许可证；不符合条件的，书面通知申请人，并说明理由。专门从事水生动物疫病诊疗的，发证机关在核发动物诊疗许可证时，应当征求同级渔业行政主管部门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《中华人民共和国动物防疫法》、《动物诊疗机构管理办法》、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表2-110</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广播电视视频点播业务许可证（乙种）审批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szCs w:val="21"/>
              </w:rPr>
              <w:t>《广播电视视频点播业务管理办法》（2004年7月6日国家广播电影电视总局令第35号颁布， 2004年8月10日起实施，2018年10月31日修正）第四条：“国家对视频点播业务实行许可制度。未经许可，任何机构和个人均不得开办视频点播业务。禁止外商独资、中外合资、中外合作机构申请开办视频点播业务，但符合本办法第八条第一款的除外。”</w:t>
            </w:r>
            <w:r>
              <w:rPr>
                <w:rFonts w:hint="eastAsia" w:ascii="Times New Roman" w:hAnsi="Times New Roman"/>
              </w:rPr>
              <w:t>第十条：“申请《广播电视视频点播业务许可证》的，须提交以下材料：(一)申请报告，内容应包括:申请许可证类别(甲种、乙种)、传播方式(即时点播、准视频点播、下载播放)、播放范围等；(二)《广播电视视频点播业务许可证》申请表；(三)从事广播电视视频点播业务的节目开办方案、技术方案、运营方案、管理制度；</w:t>
            </w:r>
          </w:p>
          <w:p>
            <w:pPr>
              <w:widowControl/>
              <w:shd w:val="clear" w:color="auto" w:fill="FFFFFF"/>
              <w:spacing w:line="360" w:lineRule="exact"/>
              <w:jc w:val="left"/>
              <w:rPr>
                <w:rFonts w:ascii="Times New Roman" w:hAnsi="Times New Roman"/>
              </w:rPr>
            </w:pPr>
            <w:r>
              <w:rPr>
                <w:rFonts w:hint="eastAsia" w:ascii="Times New Roman" w:hAnsi="Times New Roman"/>
              </w:rPr>
              <w:t>(四)向政府监管部门提供监控信号的监控方案；(五)主管人员简要情况介绍和设备、场所的证明资料。申请《广播电视视频点播业务许可证(乙种)》的，还应提交营业执照和宾馆饭店星级评定的相关证明;其中，由宾馆饭店以外的机构申请《广播电视视频点播业务许可证(乙种)》的，还需要提交公司章程以及宾馆饭店同意在其宾馆饭店从事视频点播业务的书面文件。”</w:t>
            </w:r>
            <w:r>
              <w:rPr>
                <w:rFonts w:hint="eastAsia" w:ascii="Times New Roman" w:hAnsi="Times New Roman"/>
                <w:szCs w:val="21"/>
              </w:rPr>
              <w:t>第十二条：“申请《广播电视视频点播业务许可证(乙种)》，应向当地县级以上广播电视行政部门提出申请，并提交符合第十条规定的申报材料。经逐级审核后，报省级广播电视行政部门审批。省级广播电视行政部门对申报材料进行审核，审核合格的，申办机构可以安装视频点播设备。设备安装完毕，省级广播电视行政部门组织验收，根据验收结论做出决定，符合条件的，颁发《广播电视视频点播业务许可证(乙种)》，并在90日内报广电总局备案;不符合条件的，书面通知申办机构并说明理由。</w:t>
            </w:r>
            <w:r>
              <w:rPr>
                <w:rFonts w:ascii="Times New Roman" w:hAns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2.审查责任：对申请人提交的申请材料进行审查，报送上级主管部门。</w:t>
            </w:r>
          </w:p>
          <w:p>
            <w:pPr>
              <w:snapToGrid w:val="0"/>
              <w:spacing w:line="360" w:lineRule="exact"/>
              <w:ind w:firstLine="420" w:firstLineChars="200"/>
              <w:jc w:val="left"/>
              <w:rPr>
                <w:rFonts w:ascii="Times New Roman" w:hAnsi="Times New Roman"/>
                <w:b/>
                <w:szCs w:val="21"/>
              </w:rPr>
            </w:pPr>
            <w:r>
              <w:rPr>
                <w:rFonts w:hint="eastAsia" w:ascii="Times New Roman" w:hAnsi="Times New Roman"/>
                <w:szCs w:val="21"/>
              </w:rPr>
              <w:t>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《广播电视视频点播业务管理办法》（2004年7月6日国家广播电影电视总局令第35号颁布， 2004年8月10日起实施，2018年10月31日修正）第四条：“国家对视频点播业务实行许可制度。未经许可，任何机构和个人均不得开办视频点播业务。禁止外商独资、中外合资、中外合作机构申请开办视频点播业务，但符合本办法第八条第一款的除外。”第十条：“申请《广播电视视频点播业务许可证》的，须提交以下材料：(一)申请报告，内容应包括:申请许可证类别(甲种、乙种)、传播方式(即时点播、准视频点播、下载播放)、播放范围等；(二)《广播电视视频点播业务许可证》申请表；(三)从事广播电视视频点播业务的节目开办方案、技术方案、运营方案、管理制度；(四)向政府监管部门提供监控信号的监控方案；(五)主管人员简要情况介绍和设备、场所的证明资料。申请《广播电视视频点播业务许可证(乙种)》的，还应提交营业执照和宾馆饭店星级评定的相关证明;其中，由宾馆饭店以外的机构申请《广播电视视频点播业务许可证(乙种)》的，还需要提交公司章程以及宾馆饭店同意在其宾馆饭店从事视频点播业务的书面文件。”</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2-2. 《广播电视视频点播业务管理办法》（2004年7月6日国家广播电影电视总局令第35号颁布， 2004年8月10日起实施，2018年10月31日修正）第十二条：“申请《广播电视视频点播业务许可证(乙种)》，应向当地县级以上广播电视行政部门提出申请，并提交符合第十条规定的申报材料。经逐级审核后，报省级广播电视行政部门审批。省级广播电视行政部门对申报材料进行审核，审核合格的，申办机构可以安装视频点播设备。设备安装完毕，省级广播电视行政部门组织验收，根据验收结论做出决定，符合条件的，颁发《广播电视视频点播业务许可证(乙种)》，并在90日内报广电总局备案;不符合条件的，书面通知申办机构并说明理由。</w:t>
            </w:r>
            <w:r>
              <w:rPr>
                <w:rFonts w:ascii="Times New Roman" w:hAnsi="Times New Roman"/>
                <w:szCs w:val="21"/>
              </w:rPr>
              <w:t>”</w:t>
            </w:r>
          </w:p>
          <w:p>
            <w:pPr>
              <w:spacing w:line="360" w:lineRule="exact"/>
              <w:ind w:firstLine="420" w:firstLineChars="200"/>
              <w:rPr>
                <w:rFonts w:ascii="Times New Roman" w:hAnsi="Times New Roman"/>
                <w:szCs w:val="21"/>
              </w:rPr>
            </w:pPr>
            <w:r>
              <w:rPr>
                <w:rFonts w:hint="eastAsia" w:ascii="Times New Roman" w:hAnsi="Times New Roman"/>
                <w:szCs w:val="21"/>
              </w:rPr>
              <w:t>3.成都市成华区人民政府关于印发《成华区相对集中行政许可权改革工作实施方案》的通知（成华府发〔2019〕3号）。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《广播电视视频点播业务管理办法》、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表2-111</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卫星电视广播地面接收设施安装服务许可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卫星电视广播地面接收设施管理规定》（1993年8月20日国务院令第129号颁布实施，2018年9月18日修正））第七条：“单位设置卫星地面接收设施的，必须向当地县、市人民政府广播电视行政部门提出申请，报省、自治区、直辖市人民政府广播电视行政部门审批，凭审批机关开具的证明购买卫星地面接收设施。卫星地面接收设施安装完毕，由审批机关发给《接收卫星传送的电视节目许可证》。”</w:t>
            </w:r>
          </w:p>
          <w:p>
            <w:pPr>
              <w:widowControl/>
              <w:shd w:val="clear" w:color="auto" w:fill="FFFFFF"/>
              <w:spacing w:line="360" w:lineRule="exact"/>
              <w:jc w:val="left"/>
              <w:rPr>
                <w:rFonts w:ascii="Times New Roman" w:hAnsi="Times New Roman" w:cs="Arial"/>
                <w:color w:val="333333"/>
                <w:kern w:val="0"/>
                <w:szCs w:val="21"/>
              </w:rPr>
            </w:pPr>
            <w:r>
              <w:rPr>
                <w:rFonts w:hint="eastAsia" w:ascii="Times New Roman" w:hAnsi="Times New Roman"/>
                <w:szCs w:val="21"/>
              </w:rPr>
              <w:t>2.</w:t>
            </w:r>
            <w:r>
              <w:rPr>
                <w:rFonts w:ascii="Times New Roman" w:hAnsi="Times New Roman" w:cs="Arial"/>
                <w:color w:val="333333"/>
                <w:kern w:val="0"/>
                <w:szCs w:val="21"/>
              </w:rPr>
              <w:t xml:space="preserve"> 《卫星电视广播地面接收设施安装服务暂行办法》</w:t>
            </w:r>
            <w:r>
              <w:rPr>
                <w:rFonts w:hint="eastAsia" w:ascii="Times New Roman" w:hAnsi="Times New Roman" w:cs="Arial"/>
                <w:color w:val="333333"/>
                <w:kern w:val="0"/>
                <w:szCs w:val="21"/>
              </w:rPr>
              <w:t>（2009年8月6日</w:t>
            </w:r>
            <w:r>
              <w:rPr>
                <w:rFonts w:ascii="Times New Roman" w:hAnsi="Times New Roman" w:cs="Arial"/>
                <w:color w:val="333333"/>
                <w:kern w:val="0"/>
                <w:szCs w:val="21"/>
              </w:rPr>
              <w:t>国家广播电影电视总局令第60号</w:t>
            </w:r>
            <w:r>
              <w:rPr>
                <w:rFonts w:hint="eastAsia" w:ascii="Times New Roman" w:hAnsi="Times New Roman" w:cs="Arial"/>
                <w:color w:val="333333"/>
                <w:kern w:val="0"/>
                <w:szCs w:val="21"/>
              </w:rPr>
              <w:t>颁布，2010年1月1日实施，2018年10月31日修正）第七条：“设立卫星地面接收设施安装服务机构，应当根据拟申请服务区的范围，向所在地县级以上人民政府广播影视行政部门提出申请，经逐级审核后，报省、自治区、直辖市以上人民政府广播影视行政部门审批。省、自治区、直辖市以上人民政府广播影视行政部门应当自收到申请或者初审意见20日内，作出准予许可或者不予许可的决定，准予许可的,发给许可证; 不予许可的,应当书面通知申请人并说明理由。《卫星地面接收设施安装服务许可证》由国务院广播影视行政部门统一印制。”</w:t>
            </w:r>
            <w:r>
              <w:rPr>
                <w:rFonts w:hint="eastAsia" w:ascii="Times New Roman" w:hAnsi="Times New Roman"/>
              </w:rPr>
              <w:t xml:space="preserve"> </w:t>
            </w:r>
            <w:r>
              <w:rPr>
                <w:rFonts w:hint="eastAsia" w:ascii="Times New Roman" w:hAnsi="Times New Roman" w:cs="Arial"/>
                <w:color w:val="333333"/>
                <w:kern w:val="0"/>
                <w:szCs w:val="21"/>
              </w:rPr>
              <w:t>第六条：“</w:t>
            </w:r>
          </w:p>
          <w:p>
            <w:pPr>
              <w:widowControl/>
              <w:shd w:val="clear" w:color="auto" w:fill="FFFFFF"/>
              <w:spacing w:line="360" w:lineRule="exact"/>
              <w:jc w:val="left"/>
              <w:rPr>
                <w:rFonts w:ascii="Times New Roman" w:hAnsi="Times New Roman" w:cs="Arial"/>
                <w:color w:val="333333"/>
                <w:kern w:val="0"/>
                <w:szCs w:val="21"/>
              </w:rPr>
            </w:pPr>
            <w:r>
              <w:rPr>
                <w:rFonts w:hint="eastAsia" w:ascii="Times New Roman" w:hAnsi="Times New Roman" w:cs="Arial"/>
                <w:color w:val="333333"/>
                <w:kern w:val="0"/>
                <w:szCs w:val="21"/>
              </w:rPr>
              <w:t>申请设立卫星地面接收设施安装服务机构，应当提交以下材料：(一)申请报告和申请表；(二)拟申请服务区的范围图；(三)主要工程技术人员名单和证明材料；(四)法人代表，主要经营者的身份证明和简历及主要出资单位有关证明材料；(五)营业场所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2.审查责任：对申请人提交的申请材料进行审查，报送上级主管部门。</w:t>
            </w:r>
          </w:p>
          <w:p>
            <w:pPr>
              <w:snapToGrid w:val="0"/>
              <w:spacing w:line="360" w:lineRule="exact"/>
              <w:ind w:firstLine="420" w:firstLineChars="200"/>
              <w:jc w:val="left"/>
              <w:rPr>
                <w:rFonts w:ascii="Times New Roman" w:hAnsi="Times New Roman"/>
                <w:b/>
                <w:szCs w:val="21"/>
              </w:rPr>
            </w:pPr>
            <w:r>
              <w:rPr>
                <w:rFonts w:hint="eastAsia" w:ascii="Times New Roman" w:hAnsi="Times New Roman"/>
                <w:szCs w:val="21"/>
              </w:rPr>
              <w:t>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卫星电视广播地面接收设施管理规定》（1993年8月20日国务院令第129号颁布实施，2018年9月18日修正））第七条：“单位设置卫星地面接收设施的，必须向当地县、市人民政府广播电视行政部门提出申请，报省、自治区、直辖市人民政府广播电视行政部门审批，凭审批机关开具的证明购买卫星地面接收设施。卫星地面接收设施安装完毕，由审批机关发给《接收卫星传送的电视节目许可证》。”</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rPr>
                <w:rFonts w:ascii="Times New Roman" w:hAnsi="Times New Roman"/>
                <w:szCs w:val="21"/>
              </w:rPr>
            </w:pPr>
            <w:r>
              <w:rPr>
                <w:rFonts w:hint="eastAsia" w:ascii="Times New Roman" w:hAnsi="Times New Roman"/>
                <w:szCs w:val="21"/>
              </w:rPr>
              <w:t xml:space="preserve">2-2. </w:t>
            </w:r>
            <w:r>
              <w:rPr>
                <w:rFonts w:ascii="Times New Roman" w:hAnsi="Times New Roman"/>
                <w:szCs w:val="21"/>
              </w:rPr>
              <w:t>《卫星电视广播地面接收设施安装服务暂行办法》</w:t>
            </w:r>
            <w:r>
              <w:rPr>
                <w:rFonts w:hint="eastAsia" w:ascii="Times New Roman" w:hAnsi="Times New Roman"/>
                <w:szCs w:val="21"/>
              </w:rPr>
              <w:t>（2009年8月6日</w:t>
            </w:r>
            <w:r>
              <w:rPr>
                <w:rFonts w:ascii="Times New Roman" w:hAnsi="Times New Roman"/>
                <w:szCs w:val="21"/>
              </w:rPr>
              <w:t>国家广播电影电视总局令第60号</w:t>
            </w:r>
            <w:r>
              <w:rPr>
                <w:rFonts w:hint="eastAsia" w:ascii="Times New Roman" w:hAnsi="Times New Roman"/>
                <w:szCs w:val="21"/>
              </w:rPr>
              <w:t>颁布，2010年1月1日实施，2018年10月31日修正）第七条：“设立卫星地面接收设施安装服务机构，应当根据拟申请服务区的范围，向所在地县级以上人民政府广播影视行政部门提出申请，经逐级审核后，报省、自治区、直辖市以上人民政府广播影视行政部门审批。省、自治区、直辖市以上人民政府广播影视行政部门应当自收到申请或者初审意见20日内，作出准予许可或者不予许可的决定，准予许可的,发给许可证; 不予许可的,应当书面通知申请人并说明理由。《卫星地面接收设施安装服务许可证》由国务院广播影视行政部门统一印制。”</w:t>
            </w:r>
          </w:p>
          <w:p>
            <w:pPr>
              <w:spacing w:line="360" w:lineRule="exact"/>
              <w:ind w:firstLine="420" w:firstLineChars="200"/>
              <w:rPr>
                <w:rFonts w:ascii="Times New Roman" w:hAnsi="Times New Roman"/>
                <w:szCs w:val="21"/>
              </w:rPr>
            </w:pPr>
            <w:r>
              <w:rPr>
                <w:rFonts w:hint="eastAsia" w:ascii="Times New Roman" w:hAnsi="Times New Roman"/>
                <w:szCs w:val="21"/>
              </w:rPr>
              <w:t>3.成都市成华区人民政府关于印发《成华区相对集中行政许可权改革工作实施方案》的通知（成华府发〔2019〕3号）。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《卫星电视广播地面接收设施管理规定》、</w:t>
            </w:r>
            <w:r>
              <w:rPr>
                <w:rFonts w:ascii="Times New Roman" w:hAnsi="Times New Roman"/>
                <w:szCs w:val="21"/>
              </w:rPr>
              <w:t>《卫星电视广播地面接收设施安装服务暂行办法》</w:t>
            </w:r>
            <w:r>
              <w:rPr>
                <w:rFonts w:hint="eastAsia" w:ascii="Times New Roman" w:hAnsi="Times New Roman"/>
                <w:szCs w:val="21"/>
              </w:rPr>
              <w:t>、</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表2-112</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兽药经营许可证核发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兽药管理条例》（2004年4月9日国务院令第404号公布。根据2014年7月29日《国务院关于修改部分行政法规的决定》第1次修订.根据2016年2月6日《国务院关于修改部分行政法规的决定》第2次修订。根据2020年3月27日《国务院关于修改和废止部分行政法规的决定》第三次修订）第二十二条：“经营兽药的企业，应当具备下列条件：(一)与所经营的兽药相适应的兽药技术人员；(二)与所经营的兽药相适应的营业场所、设备、仓库设施；(三)与所经营的兽药相适应的质量管理机构或者人员；(四)兽药经营质量管理规范规定的其他经营条件。符合前款规定条件的，申请人方可向市、县人民政府兽医行政管理部门提出申请，并附具符合前款规定条件的证明材料；经营兽用生物制品的，应当向省、自治区、直辖市人民政府兽医行政管理部门提出申请，并附具符合前款规定条件的证明材料。县级以上地方人民政府兽医行政管理部门，应当自收到申请之日起30个工作日内完成审查。审查合格的，发给兽药经营许可证；不合格的，应当书面通知申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 xml:space="preserve">《兽药管理条例》（2004年4月9日国务院令第404号公布。根据2014年7月29日《国务院关于修改部分行政法规的决定》第1次修订.根据2016年2月6日《国务院关于修改部分行政法规的决定》第2次修订。根据2020年3月27日《国务院关于修改和废止部分行政法规的决定》第三次修订）第二十二条：“经营兽药的企业，应当具备下列条件：(一)与所经营的兽药相适应的兽药技术人员；(二)与所经营的兽药相适应的营业场所、设备、仓库设施；(三)与所经营的兽药相适应的质量管理机构或者人员；(四)兽药经营质量管理规范规定的其他经营条件。符合前款规定条件的，申请人方可向市、县人民政府兽医行政管理部门提出申请，并附具符合前款规定条件的证明材料；经营兽用生物制品的，应当向省、自治区、直辖市人民政府兽医行政管理部门提出申请，并附具符合前款规定条件的证明材料。县级以上地方人民政府兽医行政管理部门，应当自收到申请之日起30个工作日内完成审查。审查合格的，发给兽药经营许可证；不合格的，应当书面通知申请人。” </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《兽药管理条例》、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表2-113</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生鲜乳准运证明核发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乳品质量安全监督管理条例》（2008年10月6日国务院第二十八次常务会议通过，自公布之日起施行。）第二十五条：“贮存生鲜乳的容器，应当符合国家有关卫生标准，在挤奶后2小时内应当降温至0—4℃。生鲜乳运输车辆应当取得所在地县级人民政府畜牧兽医主管部门核发的生鲜乳准运证明，并随车携带生鲜乳交接单。交接单应当载明生鲜乳收购站的名称、生鲜乳数量、交接时间，并由生鲜乳收购站经手人、押运员、司机、收奶员签字。生鲜乳交接单一式两份，分别由生鲜乳收购站和乳品生产者保存，保存时间2年。准运证明和交接单式样由省、自治区、直辖市人民政府畜牧兽医主管部门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1-2.《乳品质量安全监督管理条例》（2008年10月6日国务院第二十八次常务会议通过，自公布之日起施行。）第二十五条：“贮存生鲜乳的容器，应当符合国家有关卫生标准，在挤奶后2小时内应当降温至0—4℃。生鲜乳运输车辆应当取得所在地县级人民政府畜牧兽医主管部门核发的生鲜乳准运证明，并随车携带生鲜乳交接单。交接单应当载明生鲜乳收购站的名称、生鲜乳数量、交接时间，并由生鲜乳收购站经手人、押运员、司机、收奶员签字。生鲜乳交接单一式两份，分别由生鲜乳收购站和乳品生产者保存，保存时间2年。准运证明和交接单式样由省、自治区、直辖市人民政府畜牧兽医主管部门制定。” </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《乳品质量安全监督管理条例》、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表2-114</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生鲜乳收购站许可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乳品质量安全监督管理条例》（2008年10月6日国务院第二十八次常务会议通过，自公布之日起施行。）第二十条：“生鲜乳收购站应当由取得工商登记的乳制品生产企业、奶畜养殖场、奶农专业生产合作社开办，并具备下列条件，取得所在地县级人民政府畜牧兽医主管部门颁发的生鲜乳收购许可证：（一）符合生鲜乳收购站建设规划布局；（二）有符合环保和卫生要求的收购场所；（三）有与收奶量相适应的冷却、冷藏、保鲜设施和低温运输设备；（四）有与检测项目相适应的化验、计量、检测仪器设备；（五）有经培训合格并持有有效健康证明的从业人员；（六）有卫生管理和质量安全保障制度。生鲜乳收购许可证有效期2年；生鲜乳收购站不再办理工商登记。</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禁止其他单位或者个人开办生鲜乳收购站。禁止其他单位或者个人收购生鲜乳。国家对生鲜乳收购站给予扶持和补贴，提高其机械化挤奶和生鲜乳冷藏运输能力。”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 xml:space="preserve">《乳品质量安全监督管理条例》（2008年10月6日国务院第二十八次常务会议通过，自公布之日起施行。）第二十条：“生鲜乳收购站应当由取得工商登记的乳制品生产企业、奶畜养殖场、奶农专业生产合作社开办，并具备下列条件，取得所在地县级人民政府畜牧兽医主管部门颁发的生鲜乳收购许可证：（一）符合生鲜乳收购站建设规划布局；（二）有符合环保和卫生要求的收购场所；（三）有与收奶量相适应的冷却、冷藏、保鲜设施和低温运输设备；（四）有与检测项目相适应的化验、计量、检测仪器设备；（五）有经培训合格并持有有效健康证明的从业人员；（六）有卫生管理和质量安全保障制度。生鲜乳收购许可证有效期2年；生鲜乳收购站不再办理工商登记。禁止其他单位或者个人开办生鲜乳收购站。禁止其他单位或者个人收购生鲜乳。国家对生鲜乳收购站给予扶持和补贴，提高其机械化挤奶和生鲜乳冷藏运输能力。” </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《乳品质量安全监督管理条例》、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表2-115</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新建或迁建农村机电提灌站审批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四川省农村机电提灌管理条例》（1996年8月19日四川省第八届人民代表大会常务委员会第二十二次会议通过，根据2002年5月30日四川省第九届人民代表大会常务委员会第二十九次会议《关于修改&lt;四川省农村机电提灌管理条例&gt;的决定》第一次修正；根据2012年7月27日四川省第十一届人民代表大会常务委员会第三十一次会议《关于修改部分地方性法规的决定》第二次修正）第三条：“省人民政府农业机械主管部门主管全省农村机电提灌工作，其设置的农村机电提灌管理机构负责全省农村机电提灌管理的具体工作。市、州、县级人民政府农业机械主管部门主管本行政区域内的农村机电提灌工作。”</w:t>
            </w:r>
            <w:r>
              <w:rPr>
                <w:rFonts w:hint="eastAsia" w:ascii="Times New Roman" w:hAnsi="Times New Roman"/>
              </w:rPr>
              <w:t xml:space="preserve"> </w:t>
            </w:r>
            <w:r>
              <w:rPr>
                <w:rFonts w:hint="eastAsia" w:ascii="Times New Roman" w:hAnsi="Times New Roman"/>
                <w:szCs w:val="21"/>
              </w:rPr>
              <w:t>第十一条：“新建或迁移农村机电提灌站，装机容量小于100千瓦的，由县级人民政府农业机械主管部门审批;装机容量在100千瓦以上的，由市、州人民政府农业机械主管部门审批。禁止未经批准新建或迁移农村机电提灌站。”</w:t>
            </w:r>
            <w:r>
              <w:rPr>
                <w:rFonts w:hint="eastAsia" w:ascii="Times New Roman" w:hAnsi="Times New Roman"/>
              </w:rPr>
              <w:t xml:space="preserve"> </w:t>
            </w:r>
            <w:r>
              <w:rPr>
                <w:rFonts w:hint="eastAsia" w:ascii="Times New Roman" w:hAnsi="Times New Roman"/>
                <w:szCs w:val="21"/>
              </w:rPr>
              <w:t xml:space="preserve">第三十条：“因建设需要迁移固定式农村机电提灌设备及其附属设施的，建设单位应当按照第十一条规定的审批权限，征得农业机械主管部门同意，并由建设单位异地还建或按重置价格结合成新率给予补偿。 </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国家投资兴建的固定式机电提灌设备及其附属设施的拆迁补偿费用，由农业机械主管部门用于发展当地农村机电提灌事业。</w:t>
            </w:r>
            <w:r>
              <w:rPr>
                <w:rFonts w:ascii="Times New Roman" w:hAns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四川省农村机电提灌管理条例》（1996年8月19日四川省第八届人民代表大会常务委员会第二十二次会议通过，根据2002年5月30日四川省第九届人民代表大会常务委员会第二十九次会议《关于修改&lt;四川省农村机电提灌管理条例&gt;的决定》第一次修正；根据2012年7月27日四川省第十一届人民代表大会常务委员会第三十一次会议《关于修改部分地方性法规的决定》第二次修正）第十一条：“新建或迁移农村机电提灌站，装机容量小于100千瓦的，由县级人民政府农业机械主管部门审批;装机容量在100千瓦以上的，由市、州人民政府农业机械主管部门审批。禁止未经批准新建或迁移农村机电提灌站。” 第三十条：“因建设需要迁移固定式农村机电提灌设备及其附属设施的，建设单位应当按照第十一条规定的审批权限，征得农业机械主管部门同意，并由建设单位异地还建或按重置价格结合成新率给予补偿。国家投资兴建的固定式机电提灌设备及其附属设施的拆迁补偿费用，由农业机械主管部门用于发展当地农村机电提灌事业。”</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《四川省农村机电提灌管理条例》、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表2-116</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水产苗种生产审批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中华人民共和国渔业法》（1986年1月20日中华人民共和国主席令第三十四号公布，自1986年7月1日起施行；根据2000年10月31日第九届全国人民代表大会常务委员会第十八次会议通过的《全国人民代表大会常务委员会关于修改〈中华人民共和国渔业法〉的决定》第一次修正；根据2013年12月28日中华人民共和国主席令第8号公布《全国人大常委会关于修改&lt;中华人民共和国海洋环境保护法&gt;等七部法律的决定》第二次修正）第十六条：“国家鼓励和支持水产优良品种的选育、培育和推广。水产新品种必须经全国水产原种和良种审定委员会审定，由国务院渔业行政主管部门公告后推广。水产苗种的进口、出口由国务院渔业行政主管部门或者省、自治区、直辖市人民政府渔业行政主管部门审批。水产苗种的生产由县级以上地方人民政府渔业行政主管部门审批。但是，渔业生产者自育、自用水产苗种的除外。”</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2.</w:t>
            </w:r>
            <w:r>
              <w:rPr>
                <w:rFonts w:hint="eastAsia" w:ascii="Times New Roman" w:hAnsi="Times New Roman"/>
              </w:rPr>
              <w:t xml:space="preserve"> &lt;</w:t>
            </w:r>
            <w:r>
              <w:rPr>
                <w:rFonts w:hint="eastAsia" w:ascii="Times New Roman" w:hAnsi="Times New Roman"/>
                <w:szCs w:val="21"/>
              </w:rPr>
              <w:t>四川省《中华人民共和国渔业法》实施办法&gt;（1989年11月15日四川省第七届人民代表大会常务委员会第十二次会议通过  2002年3月30日四川省第九届人民代表大会常务委员会第二十八次会议修订  根据2004年9月24日四川省第十届人民代表大会常务委员会第十一次会议《关于修改〈四川省《中华人民共和国渔业法》实施办法〉的决定》第一次修正  根据2016年11月30日四川省第十二届人民代表大会常务委员会第二十九次会议《关于修改〈四川省《中华人民共和国渔业法》实施办法〉的决定》第二次修正）　第十三条：“生产水产种苗的单位和个人，应向县级以上渔业行政主管部门提出申请，经批准并发给水产种苗生产许可证后准予生产。渔业生产者自育、自用水产种苗的除外。”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中华人民共和国渔业法》（1986年1月20日中华人民共和国主席令第三十四号公布，自1986年7月1日起施行；根据2000年10月31日第九届全国人民代表大会常务委员会第十八次会议通过的《全国人民代表大会常务委员会关于修改〈中华人民共和国渔业法〉的决定》第一次修正；根据2013年12月28日中华人民共和国主席令第8号公布《全国人大常委会关于修改&lt;中华人民共和国海洋环境保护法&gt;等七部法律的决定》第二次修正）第十六条：“国家鼓励和支持水产优良品种的选育、培育和推广。水产新品种必须经全国水产原种和良种审定委员会审定，由国务院渔业行政主管部门公告后推广。水产苗种的进口、出口由国务院渔业行政主管部门或者省、自治区、直辖市人民政府渔业行政主管部门审批。水产苗种的生产由县级以上地方人民政府渔业行政主管部门审批。但是，渔业生产者自育、自用水产苗种的除外。”</w:t>
            </w:r>
          </w:p>
          <w:p>
            <w:pPr>
              <w:spacing w:line="360" w:lineRule="exact"/>
              <w:ind w:firstLine="420" w:firstLineChars="200"/>
              <w:jc w:val="left"/>
              <w:rPr>
                <w:rFonts w:ascii="Times New Roman" w:hAnsi="Times New Roman"/>
                <w:szCs w:val="21"/>
              </w:rPr>
            </w:pPr>
            <w:r>
              <w:rPr>
                <w:rFonts w:hint="eastAsia" w:ascii="Times New Roman" w:hAnsi="Times New Roman"/>
                <w:szCs w:val="21"/>
              </w:rPr>
              <w:t>1-3.</w:t>
            </w:r>
            <w:r>
              <w:rPr>
                <w:rFonts w:hint="eastAsia" w:ascii="Times New Roman" w:hAnsi="Times New Roman"/>
              </w:rPr>
              <w:t xml:space="preserve"> &lt;</w:t>
            </w:r>
            <w:r>
              <w:rPr>
                <w:rFonts w:hint="eastAsia" w:ascii="Times New Roman" w:hAnsi="Times New Roman"/>
                <w:szCs w:val="21"/>
              </w:rPr>
              <w:t>四川省《中华人民共和国渔业法》实施办法&gt;（1989年11月15日四川省第七届人民代表大会常务委员会第十二次会议通过  2002年3月30日四川省第九届人民代表大会常务委员会第二十八次会议修订  根据2004年9月24日四川省第十届人民代表大会常务委员会第十一次会议《关于修改〈四川省《中华人民共和国渔业法》实施办法〉的决定》第一次修正  根据2016年11月30日四川省第十二届人民代表大会常务委员会第二十九次会议《关于修改〈四川省《中华人民共和国渔业法》实施办法〉的决定》第二次修正）　第十三条：“生产水产种苗的单位和个人，应向县级以上渔业行政主管部门提出申请，经批准并发给水产种苗生产许可证后准予生产。渔业生产者自育、自用水产种苗的除外。”</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《中华人民共和国渔业法》、&lt;四川省《中华人民共和国渔业法》实施办法&gt;、</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表2-117</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渔业捕捞许可审批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中华人民共和国渔业法》（1986年1月20日中华人民共和国主席令第三十四号公布，自1986年7月1日起施行；根据2000年10月31日第九届全国人民代表大会常务委员会第十八次会议通过的《全国人民代表大会常务委员会关于修改〈中华人民共和国渔业法〉的决定》第一次修正；根据2013年12月28日中华人民共和国主席令第8号公布《全国人大常委会关于修改&lt;中华人民共和国海洋环境保护法&gt;等七部法律的决定》第二次修正）第二十三条：“国家对捕捞业实行捕捞许可证制度。海洋大型拖网、围网作业以及到中华人民共和国与有关国家缔结的协定确定的共同管理的渔区或者公海从事捕捞作业的捕捞许可证，由国务院渔业行政主管部门批准发放。其他作业的捕捞许可证，由县级以上地方人民政府渔业行政主管部门批准发放；但是，批准发放海洋作业的捕捞许可证不得超过国家下达的船网工具控制指标，具体办法由省、自治区、直辖市人民政府规定。捕捞许可证不得买卖、出租和以其他形式转让，不得涂改、伪造、变造。”第二十四条：“具备下列条件的，方可发给捕捞许可证：（一）有渔业船舶检验证书；（二）有渔业船舶登记证书；（三）符合国务院渔业行政主管部门规定的其他条件。县级以上地方人民政府渔业行政主管部门批准发放的捕捞许可证，应当与上级人民政府渔业行政主管部门下达的捕捞限额指标相适应。”</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 xml:space="preserve"> 2.</w:t>
            </w:r>
            <w:r>
              <w:rPr>
                <w:rFonts w:hint="eastAsia" w:ascii="Times New Roman" w:hAnsi="Times New Roman"/>
              </w:rPr>
              <w:t xml:space="preserve"> &lt;</w:t>
            </w:r>
            <w:r>
              <w:rPr>
                <w:rFonts w:hint="eastAsia" w:ascii="Times New Roman" w:hAnsi="Times New Roman"/>
                <w:szCs w:val="21"/>
              </w:rPr>
              <w:t>四川省《中华人民共和国渔业法》实施办法&gt;（1989年11月15日四川省第七届人民代表大会常务委员会第十二次会议通过  2002年3月30日四川省第九届人民代表大会常务委员会第二十八次会议修订  根据2004年9月24日四川省第十届人民代表大会常务委员会第十一次会议《关于修改〈四川省《中华人民共和国渔业法》实施办法〉的决定》第一次修正  根据2016年11月30日四川省第十二届人民代表大会常务委员会第二十九次会议《关于修改〈四川省《中华人民共和国渔业法》实施办法〉的决定》第二次修正）　第十九条：“在江河、湖泊等天然水域从事水生动物、水生植物采捕作业的单位或个人，须向船舶登记所在地县级以上渔业行政主管部门申请办理捕捞许可证。具备下列条件的，方可发给捕捞许可证：（一）有渔业船舶检验证书；（二）有渔业船舶登记证书；（三）符合省以上渔业行政主管部门规定的其他条件。领取捕捞许可证的单位和个人应按规定到发证机关年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中华人民共和国渔业法》（1986年1月20日中华人民共和国主席令第三十四号公布，自1986年7月1日起施行；根据2000年10月31日第九届全国人民代表大会常务委员会第十八次会议通过的《全国人民代表大会常务委员会关于修改〈中华人民共和国渔业法〉的决定》第一次修正；根据2013年12月28日中华人民共和国主席令第8号公布《全国人大常委会关于修改&lt;中华人民共和国海洋环境保护法&gt;等七部法律的决定》第二次修正）第二十三条：“国家对捕捞业实行捕捞许可证制度。海洋大型拖网、围网作业以及到中华人民共和国与有关国家缔结的协定确定的共同管理的渔区或者公海从事捕捞作业的捕捞许可证，由国务院渔业行政主管部门批准发放。其他作业的捕捞许可证，由县级以上地方人民政府渔业行政主管部门批准发放；但是，批准发放海洋作业的捕捞许可证不得超过国家下达的船网工具控制指标，具体办法由省、自治区、直辖市人民政府规定。捕捞许可证不得买卖、出租和以其他形式转让，不得涂改、伪造、变造。”第二十四条：“具备下列条件的，方可发给捕捞许可证：（一）有渔业船舶检验证书；（二）有渔业船舶登记证书；（三）符合国务院渔业行政主管部门规定的其他条件。县级以上地方人民政府渔业行政主管部门批准发放的捕捞许可证，应当与上级人民政府渔业行政主管部门下达的捕捞限额指标相适应。”</w:t>
            </w:r>
          </w:p>
          <w:p>
            <w:pPr>
              <w:spacing w:line="360" w:lineRule="exact"/>
              <w:ind w:firstLine="420" w:firstLineChars="200"/>
              <w:jc w:val="left"/>
              <w:rPr>
                <w:rFonts w:ascii="Times New Roman" w:hAnsi="Times New Roman"/>
                <w:szCs w:val="21"/>
              </w:rPr>
            </w:pPr>
            <w:r>
              <w:rPr>
                <w:rFonts w:hint="eastAsia" w:ascii="Times New Roman" w:hAnsi="Times New Roman"/>
                <w:szCs w:val="21"/>
              </w:rPr>
              <w:t>1-3.</w:t>
            </w:r>
            <w:r>
              <w:rPr>
                <w:rFonts w:hint="eastAsia" w:ascii="Times New Roman" w:hAnsi="Times New Roman"/>
              </w:rPr>
              <w:t xml:space="preserve"> &lt;</w:t>
            </w:r>
            <w:r>
              <w:rPr>
                <w:rFonts w:hint="eastAsia" w:ascii="Times New Roman" w:hAnsi="Times New Roman"/>
                <w:szCs w:val="21"/>
              </w:rPr>
              <w:t>四川省《中华人民共和国渔业法》实施办法&gt;（1989年11月15日四川省第七届人民代表大会常务委员会第十二次会议通过  2002年3月30日四川省第九届人民代表大会常务委员会第二十八次会议修订  根据2004年9月24日四川省第十届人民代表大会常务委员会第十一次会议《关于修改〈四川省《中华人民共和国渔业法》实施办法〉的决定》第一次修正  根据2016年11月30日四川省第十二届人民代表大会常务委员会第二十九次会议《关于修改〈四川省《中华人民共和国渔业法》实施办法〉的决定》第二次修正）第十九条：“在江河、湖泊等天然水域从事水生动物、水生植物采捕作业的单位或个人，须向船舶登记所在地县级以上渔业行政主管部门申请办理捕捞许可证。具备下列条件的，方可发给捕捞许可证：（一）有渔业船舶检验证书；（二）有渔业船舶登记证书；（三）符合省以上渔业行政主管部门规定的其他条件。领取捕捞许可证的单位和个人应按规定到发证机关年审。”</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《中华人民共和国渔业法》、&lt;四川省《中华人民共和国渔业法》实施办法&gt;、</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表2-118</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水域滩涂养殖证的审核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 xml:space="preserve">1.《中华人民共和国渔业法》（1986年1月20日中华人民共和国主席令第三十四号公布，自1986年7月1日起施行；根据2000年10月31日第九届全国人民代表大会常务委员会第十八次会议通过的《全国人民代表大会常务委员会关于修改〈中华人民共和国渔业法〉的决定》第一次修正；根据2013年12月28日中华人民共和国主席令第8号公布《全国人大常委会关于修改&lt;中华人民共和国海洋环境保护法&gt;等七部法律的决定》第二次修正）第十一条：“国家对水域利用进行统一规划，确定可以用于养殖业的水域和滩涂。单位和个人使用国家规划确定用于养殖业的全民所有的水域、滩涂的，使用者应当向县级以上地方人民政府渔业行政主管部门提出申请，由本级人民政府核发养殖证，许可其使用该水域、滩涂从事养殖生产。核发养殖证的具体办、法由国务院规定。集体所有的或者全民所有由农业集体经济组织使用的水域、滩涂，可以由个人或者集体承包，从事养殖生产。” </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 xml:space="preserve"> 2.</w:t>
            </w:r>
            <w:r>
              <w:rPr>
                <w:rFonts w:hint="eastAsia" w:ascii="Times New Roman" w:hAnsi="Times New Roman"/>
              </w:rPr>
              <w:t xml:space="preserve"> &lt;</w:t>
            </w:r>
            <w:r>
              <w:rPr>
                <w:rFonts w:hint="eastAsia" w:ascii="Times New Roman" w:hAnsi="Times New Roman"/>
                <w:szCs w:val="21"/>
              </w:rPr>
              <w:t>四川省《中华人民共和国渔业法》实施办法&gt;（1989年11月15日四川省第七届人民代表大会常务委员会第十二次会议通过  2002年3月30日四川省第九届人民代表大会常务委员会第二十八次会议修订  根据2004年9月24日四川省第十届人民代表大会常务委员会第十一次会议《关于修改〈四川省《中华人民共和国渔业法》实施办法〉的决定》第一次修正  根据2016年11月30日四川省第十二届人民代表大会常务委员会第二十九次会议《关于修改〈四川省《中华人民共和国渔业法》实施办法〉的决定》第二次修正）　　第十一条：“使用全民所有的水域、滩涂从事养殖生产的单位和个人，必须依法申请领取养殖证。领取养殖证的单位和个人使用全民所有的水域、滩涂，一年内无正当理由未从事养殖生产，或者放养量低于当地同类养殖水域平均放养量60％的，视为荒芜。</w:t>
            </w:r>
            <w:r>
              <w:rPr>
                <w:rFonts w:ascii="Times New Roman" w:hAns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 xml:space="preserve">《中华人民共和国渔业法》（1986年1月20日中华人民共和国主席令第三十四号公布，自1986年7月1日起施行；根据2000年10月31日第九届全国人民代表大会常务委员会第十八次会议通过的《全国人民代表大会常务委员会关于修改〈中华人民共和国渔业法〉的决定》第一次修正；根据2013年12月28日中华人民共和国主席令第8号公布《全国人大常委会关于修改&lt;中华人民共和国海洋环境保护法&gt;等七部法律的决定》第二次修正）第十一条：“国家对水域利用进行统一规划，确定可以用于养殖业的水域和滩涂。单位和个人使用国家规划确定用于养殖业的全民所有的水域、滩涂的，使用者应当向县级以上地方人民政府渔业行政主管部门提出申请，由本级人民政府核发养殖证，许可其使用该水域、滩涂从事养殖生产。核发养殖证的具体办、法由国务院规定。集体所有的或者全民所有由农业集体经济组织使用的水域、滩涂，可以由个人或者集体承包，从事养殖生产。” </w:t>
            </w:r>
          </w:p>
          <w:p>
            <w:pPr>
              <w:spacing w:line="360" w:lineRule="exact"/>
              <w:ind w:firstLine="420" w:firstLineChars="200"/>
              <w:jc w:val="left"/>
              <w:rPr>
                <w:rFonts w:ascii="Times New Roman" w:hAnsi="Times New Roman"/>
                <w:szCs w:val="21"/>
              </w:rPr>
            </w:pPr>
            <w:r>
              <w:rPr>
                <w:rFonts w:hint="eastAsia" w:ascii="Times New Roman" w:hAnsi="Times New Roman"/>
                <w:szCs w:val="21"/>
              </w:rPr>
              <w:t>1-3.</w:t>
            </w:r>
            <w:r>
              <w:rPr>
                <w:rFonts w:hint="eastAsia" w:ascii="Times New Roman" w:hAnsi="Times New Roman"/>
              </w:rPr>
              <w:t xml:space="preserve"> &lt;</w:t>
            </w:r>
            <w:r>
              <w:rPr>
                <w:rFonts w:hint="eastAsia" w:ascii="Times New Roman" w:hAnsi="Times New Roman"/>
                <w:szCs w:val="21"/>
              </w:rPr>
              <w:t>四川省《中华人民共和国渔业法》实施办法&gt;（1989年11月15日四川省第七届人民代表大会常务委员会第十二次会议通过  2002年3月30日四川省第九届人民代表大会常务委员会第二十八次会议修订  根据2004年9月24日四川省第十届人民代表大会常务委员会第十一次会议《关于修改〈四川省《中华人民共和国渔业法》实施办法〉的决定》第一次修正  根据2016年11月30日四川省第十二届人民代表大会常务委员会第二十九次会议《关于修改〈四川省《中华人民共和国渔业法》实施办法〉的决定》第二次修正）第十一条：“使用全民所有的水域、滩涂从事养殖生产的单位和个人，必须依法申请领取养殖证。领取养殖证的单位和个人使用全民所有的水域、滩涂，一年内无正当理由未从事养殖生产，或者放养量低于当地同类养殖水域平均放养量60％的，视为荒芜。”</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《中华人民共和国渔业法》、&lt;四川省《中华人民共和国渔业法》实施办法&gt;、</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表2-119</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天然水域鱼类资源的人工增殖放流审批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中华人民共和国渔业法》（1986年1月20日中华人民共和国主席令第三十四号公布，自1986年7月1日起施行；根据2000年10月31日第九届全国人民代表大会常务委员会第十八次会议通过的《全国人民代表大会常务委员会关于修改〈中华人民共和国渔业法〉的决定》第一次修正；根据2013年12月28日中华人民共和国主席令第8号公布《全国人大常委会关于修改&lt;中华人民共和国海洋环境保护法&gt;等七部法律的决定》第二次修正）第二十八条：“县级以上人民政府渔业行政主管部门应当对其管理的渔业水域统一规划，采取措施，增殖渔业资源。县级以上人民政府渔业行政主管部门可以向受益的单位和个人征收渔业资源增殖保护费，专门用于增殖和保护渔业资源。渔业资源增殖保护费的征收办法由国务院渔业行政主管部门会同财政部门制定，报国务院批准后施行。”</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 xml:space="preserve">  2.</w:t>
            </w:r>
            <w:r>
              <w:rPr>
                <w:rFonts w:hint="eastAsia" w:ascii="Times New Roman" w:hAnsi="Times New Roman"/>
              </w:rPr>
              <w:t xml:space="preserve"> &lt;</w:t>
            </w:r>
            <w:r>
              <w:rPr>
                <w:rFonts w:hint="eastAsia" w:ascii="Times New Roman" w:hAnsi="Times New Roman"/>
                <w:szCs w:val="21"/>
              </w:rPr>
              <w:t>四川省《中华人民共和国渔业法》实施办法&gt;（1989年11月15日四川省第七届人民代表大会常务委员会第十二次会议通过  2002年3月30日四川省第九届人民代表大会常务委员会第二十八次会议修订  根据2004年9月24日四川省第十届人民代表大会常务委员会第十一次会议《关于修改〈四川省《中华人民共和国渔业法》实施办法〉的决定》第一次修正  根据2016年11月30日四川省第十二届人民代表大会常务委员会第二十九次会议《关于修改〈四川省《中华人民共和国渔业法》实施办法〉的决定》第二次修正）第二十二条：“县级以上渔业行政主管部门应对其管理的渔业水域统一规划，采取措施，增殖渔业资源，并向受益的单位和个人依法征收渔业资源增殖保护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 xml:space="preserve">《中华人民共和国渔业法》（1986年1月20日中华人民共和国主席令第三十四号公布，自1986年7月1日起施行；根据2000年10月31日第九届全国人民代表大会常务委员会第十八次会议通过的《全国人民代表大会常务委员会关于修改〈中华人民共和国渔业法〉的决定》第一次修正；根据2013年12月28日中华人民共和国主席令第8号公布《全国人大常委会关于修改&lt;中华人民共和国海洋环境保护法&gt;等七部法律的决定》第二次修正）第二十八条：“县级以上人民政府渔业行政主管部门应当对其管理的渔业水域统一规划，采取措施，增殖渔业资源。县级以上人民政府渔业行政主管部门可以向受益的单位和个人征收渔业资源增殖保护费，专门用于增殖和保护渔业资源。渔业资源增殖保护费的征收办法由国务院渔业行政主管部门会同财政部门制定，报国务院批准后施行。” </w:t>
            </w:r>
          </w:p>
          <w:p>
            <w:pPr>
              <w:spacing w:line="360" w:lineRule="exact"/>
              <w:ind w:firstLine="420" w:firstLineChars="200"/>
              <w:jc w:val="left"/>
              <w:rPr>
                <w:rFonts w:ascii="Times New Roman" w:hAnsi="Times New Roman"/>
                <w:szCs w:val="21"/>
              </w:rPr>
            </w:pPr>
            <w:r>
              <w:rPr>
                <w:rFonts w:hint="eastAsia" w:ascii="Times New Roman" w:hAnsi="Times New Roman"/>
                <w:szCs w:val="21"/>
              </w:rPr>
              <w:t>1-3.</w:t>
            </w:r>
            <w:r>
              <w:rPr>
                <w:rFonts w:hint="eastAsia" w:ascii="Times New Roman" w:hAnsi="Times New Roman"/>
              </w:rPr>
              <w:t xml:space="preserve"> &lt;</w:t>
            </w:r>
            <w:r>
              <w:rPr>
                <w:rFonts w:hint="eastAsia" w:ascii="Times New Roman" w:hAnsi="Times New Roman"/>
                <w:szCs w:val="21"/>
              </w:rPr>
              <w:t>四川省《中华人民共和国渔业法》实施办法&gt;（1989年11月15日四川省第七届人民代表大会常务委员会第十二次会议通过  2002年3月30日四川省第九届人民代表大会常务委员会第二十八次会议修订  根据2004年9月24日四川省第十届人民代表大会常务委员会第十一次会议《关于修改〈四川省《中华人民共和国渔业法》实施办法〉的决定》第一次修正  根据2016年11月30日四川省第十二届人民代表大会常务委员会第二十九次会议《关于修改〈四川省《中华人民共和国渔业法》实施办法〉的决定》第二次修正）第二十二条：“县级以上渔业行政主管部门应对其管理的渔业水域统一规划，采取措施，增殖渔业资源，并向受益的单位和个人依法征收渔业资源增殖保护费。”</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《中华人民共和国渔业法》、&lt;四川省《中华人民共和国渔业法》实施办法&gt;、</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表2-120</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建设殡仪馆、火葬场、殡仪服务站、骨灰堂、经营性公墓、农村公益性墓地审批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1.《殡葬管理条例》（1997年7月11日国务院第60次常务会议通过 1997年7月21日中华人民共和国国务院令第225号发布 根据2012年11月9日中华人民共和国国务院令第628号公布 自2013年1月1日起施行的《国务院关于修改和废止部分行政法规的决定》修正）第七条：“省、自治区、直辖市人民政府民政部门应当根据本行政区域的殡葬工作规划和殡葬需要，提出殡仪馆、火葬场、骨灰堂、公墓、殡仪服务站等殡葬设施的数量、布局规划，报本级人民政府审批。”第八条：“建设殡仪馆、火葬场，由县级人民政府和设区的市、自治州人民政府的民政部门提出方案，报本级人民政府审批；建设殡仪服务站、骨灰堂，由县级人民政府和设区的市、自治州人民政府的民政部门审批；建设公墓，经县级人民政府和设区的市、自治州人民政府的民政部门审核同意后，报省、自治区、直辖市人民政府民政部门审批。利用外资建设殡葬设施，经省、自治区、直辖市人民政府民政部门审核同意后，报国务院民政部门审批。农村为村民设置公益性墓地，经乡级人民政府审核同意后，报县级人民政府民政部门审批。”第九条：“任何单位和个人未经批准，不得擅自兴建殡葬设施。农村的公益性墓地不得对村民以外的其他人员提供墓穴用地。禁止建立或者恢复宗族墓地。”</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2.</w:t>
            </w:r>
            <w:r>
              <w:rPr>
                <w:rFonts w:hint="eastAsia" w:ascii="Times New Roman" w:hAnsi="Times New Roman"/>
              </w:rPr>
              <w:t>《四川省公墓管理条例》</w:t>
            </w:r>
            <w:r>
              <w:rPr>
                <w:rFonts w:hint="eastAsia" w:ascii="Times New Roman" w:hAnsi="Times New Roman"/>
                <w:szCs w:val="21"/>
              </w:rPr>
              <w:t>（1997年10月17日四川省第八届人民代表大会常务委员会第二十九次会议通过）第十条：“设置农村公益性墓地，经乡（镇）人民政府审核同意后报县（市、区）人民政府民政部门审批。”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《殡葬管理条例》（1997年7月11日国务院第60次常务会议通过 1997年7月21日中华人民共和国国务院令第225号发布 根据2012年11月9日中华人民共和国国务院令第628号公布 自2013年1月1日起施行的《国务院关于修改和废止部分行政法规的决定》修正）第七条：“省、自治区、直辖市人民政府民政部门应当根据本行政区域的殡葬工作规划和殡葬需要，提出殡仪馆、火葬场、骨灰堂、公墓、殡仪服务站等殡葬设施的数量、布局规划，报本级人民政府审批。”第八条：“建设殡仪馆、火葬场，由县级人民政府和设区的市、自治州人民政府的民政部门提出方案，报本级人民政府审批；建设殡仪服务站、骨灰堂，由县级人民政府和设区的市、自治州人民政府的民政部门审批；建设公墓，经县级人民政府和设区的市、自治州人民政府的民政部门审核同意后，报省、自治区、直辖市人民政府民政部门审批。利用外资建设殡葬设施，经省、自治区、直辖市人民政府民政部门审核同意后，报国务院民政部门审批。农村为村民设置公益性墓地，经乡级人民政府审核同意后，报县级人民政府民政部门审批。”第九条：“任何单位和个人未经批准，不得擅自兴建殡葬设施。农村的公益性墓地不得对村民以外的其他人员提供墓穴用地。禁止建立或者恢复宗族墓地。”</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1-3.《四川省公墓管理条例》（1997年10月17日四川省第八届人民代表大会常务委员会第二十九次会议通过）第十条：“设置农村公益性墓地，经乡（镇）人民政府审核同意后报县（市、区）人民政府民政部门审批。”  </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《殡葬管理条例》、《四川省公墓管理条例》、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表2-121</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cs="宋体"/>
                <w:sz w:val="22"/>
              </w:rPr>
            </w:pPr>
            <w:r>
              <w:rPr>
                <w:rFonts w:hint="eastAsia" w:ascii="Times New Roman" w:hAnsi="Times New Roman"/>
                <w:sz w:val="22"/>
              </w:rPr>
              <w:t>实施中等及中等以下学历教育、学前教育、自学考试助学及其他文化教育的学校设立、变更和终止审批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1.《中华人民共和国民办教育促进法》第十二条 举办实施学历教育、学前教育、自学考试助学及其他文化教育的民办学校，由县级以上人民政府教育行政部门按照国家规定的权限审批; 第十六条 具备办学条件，达到设置标准的，可以直接申请正式设立，并应当提交本法第十三条和第十五条(三)、(四)、(五)项规定的材料。第十八条 审批机关对批准正式设立的民办学校发给办学许可证。审批机关对不批准正式设立的，应当说明理由。第二十一条 学校理事会或者董事会由五人以上组成，设理事长或者董事长一人。理事长、理事或者董事长、董事名单报审批机关备案。第三十九条 民办学校资产的使用和财务管理受审批机关和其他有关部门的监督。第五十三条 民办学校的分立、合并，在进行财务清算后，由学校理事会或者董事会报审批机关批准。第五十四条 民办学校举办者的变更，须由举办者提出，在进行财务清算后，经学校理事会或者董事会同意，报审批机关核准。第五十五条 民办学校名称、层次、类别的变更，由学校理事会或者董事会报审批机关批准。第五十六条 民办学校有下列情形之一的，应当终止：(一)根据学校章程规定要求终止，并经审批机关批准的; 　第五十八条 民办学校终止时，应当依法进行财务清算。民办学校自己要求终止的，由民办学校组织清算;被审批机关依法撤销的，由审批机关组织清算;因资不抵债无法继续办学而被终止的，由人民法院组织清算。第六十条 终止的民办学校，由审批机关收回办学许可证和销毁印章，并注销登记。</w:t>
            </w:r>
          </w:p>
          <w:p>
            <w:pPr>
              <w:spacing w:line="360" w:lineRule="exact"/>
              <w:ind w:firstLine="420" w:firstLineChars="200"/>
              <w:rPr>
                <w:rFonts w:ascii="Times New Roman" w:hAnsi="Times New Roman"/>
                <w:szCs w:val="21"/>
              </w:rPr>
            </w:pPr>
            <w:r>
              <w:rPr>
                <w:rFonts w:hint="eastAsia" w:ascii="Times New Roman" w:hAnsi="Times New Roman"/>
                <w:szCs w:val="21"/>
              </w:rPr>
              <w:t>2.《中华人民共和国民办教育促进法实施条例》第十二条　民办学校举办者变更的，应当签订变更协议，但不得涉及学校的法人财产，也不得影响学校发展，不得损害师生权益；现有民办学校的举办者变更的，可以根据其依法享有的合法权益与继任举办者协议约定变更收益。民办学校的举办者不再具备法定条件的，应当在6个月内向审批机关提出变更；逾期不变更的，由审批机关责令变更。举办者变更，符合法定条件的，审批机关应当在规定的期限内予以办理。第十五条　设立民办学校的审批权限，依照有关法律、法规的规定执行。第二十三条　民办学校增设校区应当向审批机关申请地址变更；设立分校应当向分校所在地审批机关单独申请办学许可，并报原审批机关备案。地方人民政府及其有关部门应当依法履行实施义务教育的职责。设立实施义务教育的民办学校，应当符合当地义务教育发展规划。</w:t>
            </w:r>
          </w:p>
          <w:p>
            <w:pPr>
              <w:spacing w:line="360" w:lineRule="exact"/>
              <w:ind w:firstLine="420" w:firstLineChars="200"/>
              <w:rPr>
                <w:rFonts w:ascii="Times New Roman" w:hAnsi="Times New Roman"/>
                <w:szCs w:val="21"/>
              </w:rPr>
            </w:pPr>
            <w:r>
              <w:rPr>
                <w:rFonts w:hint="eastAsia" w:ascii="Times New Roman" w:hAnsi="Times New Roman"/>
                <w:szCs w:val="21"/>
              </w:rPr>
              <w:t>3.</w:t>
            </w:r>
            <w:r>
              <w:rPr>
                <w:rFonts w:ascii="Times New Roman" w:hAnsi="Times New Roman"/>
                <w:szCs w:val="21"/>
              </w:rPr>
              <w:t xml:space="preserve"> 四川省《中华人民共和国民办教育促进法》实施办法</w:t>
            </w:r>
            <w:r>
              <w:rPr>
                <w:rFonts w:hint="eastAsia" w:ascii="Times New Roman" w:hAnsi="Times New Roman"/>
                <w:szCs w:val="21"/>
              </w:rPr>
              <w:t>第七条设立民办学校按照以下权限审批:(五)普通初级中学、初等职业学校、小学、幼儿园及其它教育机构由县级教育行政部门审批，报市(州)教育行政部门备案;</w:t>
            </w:r>
          </w:p>
          <w:p>
            <w:pPr>
              <w:spacing w:line="360" w:lineRule="exact"/>
              <w:rPr>
                <w:rFonts w:ascii="Times New Roman" w:hAnsi="Times New Roman"/>
                <w:szCs w:val="21"/>
              </w:rPr>
            </w:pPr>
            <w:r>
              <w:rPr>
                <w:rFonts w:hint="eastAsia" w:ascii="Times New Roman" w:hAnsi="Times New Roman"/>
                <w:szCs w:val="21"/>
              </w:rPr>
              <w:t>第十条 民办学校的终止和清算，按照有关法律法规规定办理。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4.送达责任：在规定期限内向申请人送达行政许可证件；建立信息档案；公开有关信息。</w:t>
            </w:r>
          </w:p>
          <w:p>
            <w:pPr>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5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r>
              <w:rPr>
                <w:rFonts w:hint="eastAsia" w:ascii="Times New Roman" w:hAnsi="Times New Roman"/>
                <w:bCs/>
                <w:szCs w:val="21"/>
              </w:rPr>
              <w:t>第三十二条</w:t>
            </w:r>
            <w:r>
              <w:rPr>
                <w:rFonts w:hint="eastAsia" w:ascii="Times New Roman" w:hAnsi="Times New Roman"/>
                <w:szCs w:val="21"/>
              </w:rPr>
              <w:t>：“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before="75" w:after="75" w:line="350" w:lineRule="exact"/>
              <w:ind w:left="75" w:right="75" w:firstLine="420" w:firstLineChars="200"/>
              <w:jc w:val="left"/>
              <w:rPr>
                <w:rFonts w:ascii="Times New Roman" w:hAnsi="Times New Roman"/>
                <w:szCs w:val="21"/>
              </w:rPr>
            </w:pPr>
            <w:r>
              <w:rPr>
                <w:rFonts w:hint="eastAsia" w:ascii="Times New Roman" w:hAnsi="Times New Roman"/>
                <w:szCs w:val="21"/>
              </w:rPr>
              <w:t>1-2.《中华人民共和国民办教育促进法》第十四条 审批机关应当自受理筹设民办学校的申请之日起三十日内以书面形式作出是否同意的决定。同意筹设的，发给筹设批准书。不同意筹设的，应当说明理由。第十七条 申请正式设立民办学校的，审批机关应当自受理之日起三个月内以书面形式作出是否批准的决定，并送达申请人;其中申请正式设立民办高等学校的，审批机关也可以自受理之日起六个月内以书面形式作出是否批准的决定，并送达申请人。</w:t>
            </w:r>
          </w:p>
          <w:p>
            <w:pPr>
              <w:spacing w:line="350" w:lineRule="exact"/>
              <w:ind w:firstLine="525" w:firstLineChars="25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50" w:lineRule="exact"/>
              <w:ind w:firstLine="420" w:firstLineChars="200"/>
              <w:jc w:val="left"/>
              <w:rPr>
                <w:rFonts w:ascii="Times New Roman" w:hAnsi="Times New Roman"/>
                <w:szCs w:val="21"/>
              </w:rPr>
            </w:pPr>
            <w:r>
              <w:rPr>
                <w:rFonts w:hint="eastAsia" w:ascii="Times New Roman" w:hAnsi="Times New Roman"/>
                <w:szCs w:val="21"/>
              </w:rPr>
              <w:t>2-2. 《中华人民共和国民办教育促进法》第十条 举办民办学校的社会组织，应当具有法人资格。举办民办学校的个人，应当具有政治权利和完全民事行为能力。民办学校应当具备法人条件。第十一条 设立民办学校应当符合当地教育发展的需求，具备教育法和其他有关法律、法规规定的条件。第十三条 申请筹设民办学校，举办者应当向审批机关提交下列材料：(一)申办报告，内容应当主要包括：举办者、培养目标、办学规模、办学层次、办学形式、办学条件、内部管理体制、经费筹措与管理使用等; (二)举办者的姓名、住址或者名称、地址;(三)资产来源、资金数额及有效证明文件，并载明产权;(四)属捐赠性质的校产须提交捐赠协议，载明捐赠人的姓名、所捐资产的数额、用途和管理方法及相关有效证明文件。第十六条 具备办学条件，达到设置标准的，可以直接申请正式设立，并应当提交本法第十三条和第十五条(三)、(四)、(五)项规定的材料。第二十四条 民办学校参照同级同类公办学校校长任职的条件聘任校长，年龄可以适当放宽。第八章 变更与终止 第五十三条 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第五十四条 民办学校举办者的变更，须由举办者提出，在进行财务清算后，经学校理事会或者董事会同意，报审批机关核准。第五十五条 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w:t>
            </w:r>
          </w:p>
          <w:p>
            <w:pPr>
              <w:spacing w:line="35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5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widowControl/>
              <w:shd w:val="clear" w:color="auto" w:fill="FFFFFF"/>
              <w:spacing w:before="75" w:after="75" w:line="350" w:lineRule="exact"/>
              <w:ind w:left="75" w:right="75" w:firstLine="420" w:firstLineChars="200"/>
              <w:jc w:val="left"/>
              <w:rPr>
                <w:rFonts w:ascii="Times New Roman" w:hAnsi="Times New Roman"/>
                <w:szCs w:val="21"/>
              </w:rPr>
            </w:pPr>
            <w:r>
              <w:rPr>
                <w:rFonts w:hint="eastAsia" w:ascii="Times New Roman" w:hAnsi="Times New Roman"/>
                <w:szCs w:val="21"/>
              </w:rPr>
              <w:t>3-3．《中华人民共和国民办教育促进法》第十七条 申请正式设立民办学校的，审批机关应当自受理之日起三个月内以书面形式作出是否批准的决定，并送达申请人;其中申请正式设立民办高等学校的，审批机关也可以自受理之日起六个月内以书面形式作出是否批准的决定，并送达申请人。第十八条 审批机关对批准正式设立的民办学校发给办学许可证。审批机关对不批准正式设立的，应当说明理由。第五十五条 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w:t>
            </w:r>
          </w:p>
          <w:p>
            <w:pPr>
              <w:widowControl/>
              <w:shd w:val="clear" w:color="auto" w:fill="FFFFFF"/>
              <w:spacing w:before="75" w:after="75" w:line="350" w:lineRule="exact"/>
              <w:ind w:left="75" w:right="75"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5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szCs w:val="21"/>
              </w:rPr>
              <w:t>《中华人民共和国体育法》、</w:t>
            </w:r>
            <w:r>
              <w:rPr>
                <w:rFonts w:ascii="Times New Roman" w:hAnsi="Times New Roman"/>
                <w:szCs w:val="21"/>
              </w:rPr>
              <w:t>《行政机关公务员处分条例》、</w:t>
            </w:r>
            <w:r>
              <w:rPr>
                <w:rFonts w:hint="eastAsia" w:ascii="Times New Roman" w:hAnsi="Times New Roman"/>
                <w:szCs w:val="21"/>
              </w:rPr>
              <w:t>《中华人民共和国民办教育促进法》、《中华人民共和国民办教育促进法实施条例》、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rPr>
      </w:pPr>
    </w:p>
    <w:p>
      <w:pPr>
        <w:widowControl/>
        <w:spacing w:line="360" w:lineRule="exact"/>
        <w:jc w:val="left"/>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表2-122</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cs="宋体"/>
                <w:sz w:val="22"/>
              </w:rPr>
            </w:pPr>
            <w:r>
              <w:rPr>
                <w:rFonts w:hint="eastAsia" w:ascii="Times New Roman" w:hAnsi="Times New Roman"/>
                <w:sz w:val="22"/>
              </w:rPr>
              <w:t>教师资格认定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 《中华人民共和国教师法》第十三条 中小学教师资格由县级以上地方人民政府教育行政部门认定。</w:t>
            </w:r>
          </w:p>
          <w:p>
            <w:pPr>
              <w:spacing w:line="360" w:lineRule="exact"/>
              <w:ind w:firstLine="420" w:firstLineChars="200"/>
              <w:rPr>
                <w:rFonts w:ascii="Times New Roman" w:hAnsi="Times New Roman"/>
                <w:szCs w:val="21"/>
              </w:rPr>
            </w:pPr>
            <w:r>
              <w:rPr>
                <w:rFonts w:hint="eastAsia" w:ascii="Times New Roman" w:hAnsi="Times New Roman"/>
                <w:szCs w:val="21"/>
              </w:rPr>
              <w:t>2.《教师资格条例》第十三条　幼儿园、小学和初级中学教师资格，由申请人户籍所在地或者申请人任教学校所在地的县级人民政府教育行政部门认定。</w:t>
            </w:r>
          </w:p>
          <w:p>
            <w:pPr>
              <w:spacing w:line="360" w:lineRule="exact"/>
              <w:ind w:firstLine="420" w:firstLineChars="200"/>
              <w:rPr>
                <w:rFonts w:ascii="Times New Roman" w:hAnsi="Times New Roman"/>
                <w:szCs w:val="21"/>
              </w:rPr>
            </w:pPr>
            <w:r>
              <w:rPr>
                <w:rFonts w:hint="eastAsia" w:ascii="Times New Roman" w:hAnsi="Times New Roman"/>
                <w:szCs w:val="21"/>
              </w:rPr>
              <w:t>3.《教师资格条例》实施办法 第五条　依法受理教师资格认定申请的县级以上地方人民政府教育行政部门，为教师资格认定机构。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4.送达责任：在规定期限内向申请人送达行政许可证件；建立信息档案；公开有关信息。</w:t>
            </w:r>
          </w:p>
          <w:p>
            <w:pPr>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1-1.《教师资格条例》第十四条　认定教师资格，应当由本人提出申请。</w:t>
            </w:r>
          </w:p>
          <w:p>
            <w:pPr>
              <w:spacing w:line="360" w:lineRule="exact"/>
              <w:ind w:firstLine="420" w:firstLineChars="200"/>
              <w:jc w:val="left"/>
              <w:rPr>
                <w:rFonts w:ascii="Times New Roman" w:hAnsi="Times New Roman"/>
                <w:szCs w:val="21"/>
              </w:rPr>
            </w:pPr>
            <w:r>
              <w:rPr>
                <w:rFonts w:hint="eastAsia" w:ascii="Times New Roman" w:hAnsi="Times New Roman"/>
                <w:szCs w:val="21"/>
              </w:rPr>
              <w:t>教育行政部门和受委托的高等学校每年春季、秋季各受理一次教师资格认定申请。具体受理期限由教育行政部门或者受委托的高等学校规定，并以适当形式公布。申请人应当在规定的受理期限内提出申请。申请人提交的证明或者材料不全的，教育行政部门或者受委托的高等学校应当及时通知申请人于受理期限终止前补齐。</w:t>
            </w:r>
          </w:p>
          <w:p>
            <w:pPr>
              <w:spacing w:line="360" w:lineRule="exact"/>
              <w:ind w:firstLine="420" w:firstLineChars="200"/>
              <w:jc w:val="left"/>
              <w:rPr>
                <w:rFonts w:ascii="Times New Roman" w:hAnsi="Times New Roman"/>
                <w:szCs w:val="21"/>
              </w:rPr>
            </w:pPr>
            <w:r>
              <w:rPr>
                <w:rFonts w:hint="eastAsia" w:ascii="Times New Roman" w:hAnsi="Times New Roman"/>
                <w:szCs w:val="21"/>
              </w:rPr>
              <w:t>1-2.《教师资格条例》实施办法 第十一条　申请认定教师资格者，应当在受理申请期限内向相应的教师资格认定机构或者依法接受委托的高等学校提出申请，领取有关资料和表格。</w:t>
            </w:r>
          </w:p>
          <w:p>
            <w:pPr>
              <w:spacing w:line="360" w:lineRule="exact"/>
              <w:ind w:firstLine="420" w:firstLineChars="200"/>
              <w:jc w:val="left"/>
              <w:rPr>
                <w:rFonts w:ascii="Times New Roman" w:hAnsi="Times New Roman"/>
                <w:szCs w:val="21"/>
              </w:rPr>
            </w:pPr>
            <w:r>
              <w:rPr>
                <w:rFonts w:hint="eastAsia" w:ascii="Times New Roman" w:hAnsi="Times New Roman"/>
                <w:szCs w:val="21"/>
              </w:rPr>
              <w:t>1-3.《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2-1. 《教师资格条例》第十五条　申请认定教师资格，应当提交教师资格认定申请表和下列证明或者材料：（一）身份证明；（二）学历证书或者教师资格考试合格证明；（三）教育行政部门或者受委托的高等学校指定的医院出具的体格检查证明；（四）户籍所在地的街道办事处、乡人民政府或者工作单位、所毕业的学校对其思想品德、有无犯罪记录等方面情况的鉴定及证明材料。申请人提交的证明或者材料不全的，教育行政部门或者受委托的高等学校应当及时通知申请人于受理期限终止前补齐。教师资格认定申请表由国务院教育行政部门统一格式。</w:t>
            </w:r>
          </w:p>
          <w:p>
            <w:pPr>
              <w:spacing w:line="360" w:lineRule="exact"/>
              <w:ind w:firstLine="420" w:firstLineChars="200"/>
              <w:jc w:val="left"/>
              <w:rPr>
                <w:rFonts w:ascii="Times New Roman" w:hAnsi="Times New Roman"/>
                <w:szCs w:val="21"/>
              </w:rPr>
            </w:pPr>
            <w:r>
              <w:rPr>
                <w:rFonts w:hint="eastAsia" w:ascii="Times New Roman" w:hAnsi="Times New Roman"/>
                <w:szCs w:val="21"/>
              </w:rPr>
              <w:t>2-2. 《教师法》第十一条 取得教师资格应当具备的相应学历是：（一） 取得幼儿园教师资格，应当具备幼儿师范学校毕业及其以上学历；（二） 取得小学教师资格，应当具备中等师范学校毕业及其以上学历；（三） 取得初级中学教师、初级职业学校文化、专业课教师资格，应当具备高等师范专科学校或者其他大学专科毕业及其以上学历；</w:t>
            </w:r>
          </w:p>
          <w:p>
            <w:pPr>
              <w:spacing w:line="360" w:lineRule="exact"/>
              <w:ind w:firstLine="420" w:firstLineChars="200"/>
              <w:jc w:val="left"/>
              <w:rPr>
                <w:rFonts w:ascii="Times New Roman" w:hAnsi="Times New Roman"/>
                <w:szCs w:val="21"/>
              </w:rPr>
            </w:pPr>
            <w:r>
              <w:rPr>
                <w:rFonts w:hint="eastAsia" w:ascii="Times New Roman" w:hAnsi="Times New Roman"/>
                <w:szCs w:val="21"/>
              </w:rPr>
              <w:t>2-3. 《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3-3．《教师资格条例》第十六条　教育行政部门或者受委托的高等学校在接到公民的教师资格认定申请后，应当对申请人的条件进行审查；对符合认定条件的，应当在受理期限终止之日起30日内颁发相应的教师资格证书；对不符合认定条件的，应当在受理期限终止之日起30日内将认定结论通知本人。</w:t>
            </w:r>
          </w:p>
          <w:p>
            <w:pPr>
              <w:spacing w:line="360" w:lineRule="exact"/>
              <w:ind w:firstLine="420" w:firstLineChars="200"/>
              <w:jc w:val="left"/>
              <w:rPr>
                <w:rFonts w:ascii="Times New Roman" w:hAnsi="Times New Roman"/>
                <w:szCs w:val="21"/>
              </w:rPr>
            </w:pPr>
            <w:r>
              <w:rPr>
                <w:rFonts w:hint="eastAsia" w:ascii="Times New Roman" w:hAnsi="Times New Roman"/>
                <w:szCs w:val="21"/>
              </w:rPr>
              <w:t>3-4. 《教师资格条例》实施办法 第二十条　教师资格认定机构根据教师资格专家审查委员会的审查意见，在受理申请期限终止之日起30个法定工作日内作出是否认定教师资格的结论，并将认定结果通知申请人。符合法定的认定条件者，颁发相应的《教师资格证书》。</w:t>
            </w:r>
          </w:p>
          <w:p>
            <w:pPr>
              <w:widowControl/>
              <w:shd w:val="clear" w:color="auto" w:fill="FFFFFF"/>
              <w:spacing w:before="75" w:after="75" w:line="360" w:lineRule="exact"/>
              <w:ind w:left="75" w:right="75"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szCs w:val="21"/>
              </w:rPr>
              <w:t>《中华人民共和国体育法》、</w:t>
            </w:r>
            <w:r>
              <w:rPr>
                <w:rFonts w:ascii="Times New Roman" w:hAnsi="Times New Roman"/>
                <w:szCs w:val="21"/>
              </w:rPr>
              <w:t>《行政机关公务员处分条例》、</w:t>
            </w:r>
            <w:r>
              <w:rPr>
                <w:rFonts w:hint="eastAsia" w:ascii="Times New Roman" w:hAnsi="Times New Roman"/>
                <w:szCs w:val="21"/>
              </w:rPr>
              <w:t>《中华人民共和国教师法》、《教师资格条例》、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rPr>
      </w:pPr>
    </w:p>
    <w:p>
      <w:pPr>
        <w:widowControl/>
        <w:spacing w:line="360" w:lineRule="exact"/>
        <w:jc w:val="left"/>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表2-123</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筹备设立宗教活动场所审批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宗教事务条例》（2004年11月30日中华人民共和国国务院令第426号公布2017年6月14日国务院第176次常务会议修订通过）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省、自治区、直辖市人民政府宗教事务部门应当自收到设区的市级人民政府宗教事务部门报送的材料之日起30日内，作出批准或者不予批准的决定。宗教活动场所的设立申请获批准后，方可办理该宗教活动场所的筹建事项。”</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 xml:space="preserve"> 2.</w:t>
            </w:r>
            <w:r>
              <w:rPr>
                <w:rFonts w:hint="eastAsia" w:ascii="Times New Roman" w:hAnsi="Times New Roman"/>
              </w:rPr>
              <w:t>《宗教活动场所设立审批和登记办法》</w:t>
            </w:r>
            <w:r>
              <w:rPr>
                <w:rFonts w:hint="eastAsia" w:ascii="Times New Roman" w:hAnsi="Times New Roman"/>
                <w:szCs w:val="21"/>
              </w:rPr>
              <w:t>（于2005年4月14日经国家宗教事务局局务会议通过）第三条：“筹备设立宗教活动场所，一般应当由拟设立地的县（市、区、旗）宗教团体提出申请。如拟设立地的县（市、区、旗）无宗教团体的，可由拟设立地的设区的市（地、州、盟）宗教团体提出申请；拟设立地的市（地、州、盟）无宗教团体的，可由拟设立地的省、自治区、直辖市宗教团体提出申请；拟设立地的省、自治区、直辖市无宗教团体的，可由全国性宗教团体提出申请。县级人民政府宗教事务部门是筹备设立宗教活动场所申请的受理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宗教事务条例》（2004年11月30日中华人民共和国国务院令第426号公布2017年6月14日国务院第176次常务会议修订通过）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省、自治区、直辖市人民政府宗教事务部门应当自收到设区的市级人民政府宗教事务部门报送的材料之日起30日内，作出批准或者不予批准的决定。宗教活动场所的设立申请获批准后，方可办理该宗教活动场所的筹建事项。”</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1-3.《宗教活动场所设立审批和登记办法》（于2005年4月14日经国家宗教事务局局务会议通过）第三条：“筹备设立宗教活动场所，一般应当由拟设立地的县（市、区、旗）宗教团体提出申请。如拟设立地的县（市、区、旗）无宗教团体的，可由拟设立地的设区的市（地、州、盟）宗教团体提出申请；拟设立地的市（地、州、盟）无宗教团体的，可由拟设立地的省、自治区、直辖市宗教团体提出申请；拟设立地的省、自治区、直辖市无宗教团体的，可由全国性宗教团体提出申请。县级人民政府宗教事务部门是筹备设立宗教活动场所申请的受理机关。”</w:t>
            </w:r>
            <w:r>
              <w:rPr>
                <w:rFonts w:hint="eastAsia" w:ascii="Times New Roman" w:hAnsi="Times New Roman"/>
              </w:rPr>
              <w:t xml:space="preserve"> </w:t>
            </w:r>
            <w:r>
              <w:rPr>
                <w:rFonts w:hint="eastAsia" w:ascii="Times New Roman" w:hAnsi="Times New Roman"/>
                <w:szCs w:val="21"/>
              </w:rPr>
              <w:t>第五条：“申请筹备设立宗教活动场所，应当填写《宗教活动场所筹备设立申请表》，同时提交下列材料：（一）拟设立地信教公民的有关情况说明；（二）拟主持宗教活动的宗教教职人员或者符合本宗教规定的其他人员的基本情况及户籍、居民身份和教职身份证明；（三）拟成立的筹备组织成员的基本情况、户籍和居民身份证明(属宗教教职人员的，还应当提供教职身份证明)；（四）必要的资金证明；（五）拟设立地点和拟设立场所的可行性说明；（六）需要提供的其他有关材料。”</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《宗教事务条例》、《宗教活动场所设立审批和登记办法》、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表2-124</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在宗教活动场所内改建或者新建建筑物审批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宗教事务条例》（2004年11月30日中华人民共和国国务院令第426号公布2017年6月14日国务院第176次常务会议修订通过）第三十三条：“在宗教活动场所内改建或者新建建筑物，应当经所在地县级以上地方人民政府宗教事务部门批准后，依法办理规划、建设等手续。宗教活动场所扩建、异地重建的，应当按照本条例第二十一条规定的程序办理。”</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2.</w:t>
            </w:r>
            <w:r>
              <w:rPr>
                <w:rFonts w:hint="eastAsia" w:ascii="Times New Roman" w:hAnsi="Times New Roman"/>
              </w:rPr>
              <w:t>《四川省宗教事务条例》</w:t>
            </w:r>
            <w:r>
              <w:rPr>
                <w:rFonts w:hint="eastAsia" w:ascii="Times New Roman" w:hAnsi="Times New Roman"/>
                <w:szCs w:val="21"/>
              </w:rPr>
              <w:t>（2000年5月9日四川省第九届人民代表大会常务委员会第十六次会议通过，根据2006年11月30日四川省第十届人民代表大会常务委员会第二十四次会议《关于修改〈四川省宗教事务条例〉的决定》修正，2019年11月28日四川省第十三届人民代表大会常务委员会第十四次会议修订）第二十六条：“在宗教活动场所内改建或者新建建筑物，应当经所在地县级以上地方人民政府宗教事务部门批准后，依法办理规划、建设等手续。拟改建或者新建的建筑不影响宗教活动场所现有布局和功能的，由宗教活动场所报县级人民政府宗教事务部门，县级人民政府宗教事务部门自受理之日起二十日内，作出批准或者不予批准的决定。拟改建或者新建的建筑物改变宗教活动场所现有布局、风貌和功能的，由县级人民政府宗教事务部门提出意见，属于寺观教堂的，经市（州）人民政府宗教事务部门审核后报省人民政府宗教事务部门，省人民政府宗教事务部门应当自收到材料之日起二十日内，作出批准或者不予批准的决定；属于其他固定宗教活动处所的，报市（州）人民政府宗教事务部门，市（州）人民政府宗教事务部门应当自收到材料之日起二十日内，作出批准或者不予批准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宗教事务条例》（2004年11月30日中华人民共和国国务院令第426号公布2017年6月14日国务院第176次常务会议修订通过）第三十三条：“在宗教活动场所内改建或者新建建筑物，应当经所在地县级以上地方人民政府宗教事务部门批准后，依法办理规划、建设等手续。宗教活动场所扩建、异地重建的，应当按照本条例第二十一条规定的程序办理。”</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1-3.</w:t>
            </w:r>
            <w:r>
              <w:rPr>
                <w:rFonts w:hint="eastAsia" w:ascii="Times New Roman" w:hAnsi="Times New Roman"/>
              </w:rPr>
              <w:t xml:space="preserve"> </w:t>
            </w:r>
            <w:r>
              <w:rPr>
                <w:rFonts w:hint="eastAsia" w:ascii="Times New Roman" w:hAnsi="Times New Roman"/>
                <w:szCs w:val="21"/>
              </w:rPr>
              <w:t>《四川省宗教事务条例》（2000年5月9日四川省第九届人民代表大会常务委员会第十六次会议通过，根据2006年11月30日四川省第十届人民代表大会常务委员会第二十四次会议《关于修改〈四川省宗教事务条例〉的决定》修正，2019年11月28日四川省第十三届人民代表大会常务委员会第十四次会议修订）第二十六条：“在宗教活动场所内改建或者新建建筑物，应当经所在地县级以上地方人民政府宗教事务部门批准后，依法办理规划、建设等手续。拟改建或者新建的建筑不影响宗教活动场所现有布局和功能的，由宗教活动场所报县级人民政府宗教事务部门，县级人民政府宗教事务部门自受理之日起二十日内，作出批准或者不予批准的决定。拟改建或者新建的建筑物改变宗教活动场所现有布局、风貌和功能的，由县级人民政府宗教事务部门提出意见，属于寺观教堂的，经市（州）人民政府宗教事务部门审核后报省人民政府宗教事务部门，省人民政府宗教事务部门应当自收到材料之日起二十日内，作出批准或者不予批准的决定；属于其他固定宗教活动处所的，报市（州）人民政府宗教事务部门，市（州）人民政府宗教事务部门应当自收到材料之日起二十日内，作出批准或者不予批准的决定。”第二十七条：“在宗教活动场所内改建或者新建建筑物，应当具备下列条件：</w:t>
            </w:r>
          </w:p>
          <w:p>
            <w:pPr>
              <w:spacing w:line="360" w:lineRule="exact"/>
              <w:jc w:val="left"/>
              <w:rPr>
                <w:rFonts w:ascii="Times New Roman" w:hAnsi="Times New Roman"/>
                <w:szCs w:val="21"/>
              </w:rPr>
            </w:pPr>
            <w:r>
              <w:rPr>
                <w:rFonts w:hint="eastAsia" w:ascii="Times New Roman" w:hAnsi="Times New Roman"/>
                <w:szCs w:val="21"/>
              </w:rPr>
              <w:t>（一）确有改建或者新建建筑物的需要，并经该场所管理组织集体研究同意；</w:t>
            </w:r>
          </w:p>
          <w:p>
            <w:pPr>
              <w:spacing w:line="360" w:lineRule="exact"/>
              <w:jc w:val="left"/>
              <w:rPr>
                <w:rFonts w:ascii="Times New Roman" w:hAnsi="Times New Roman"/>
                <w:szCs w:val="21"/>
              </w:rPr>
            </w:pPr>
            <w:r>
              <w:rPr>
                <w:rFonts w:hint="eastAsia" w:ascii="Times New Roman" w:hAnsi="Times New Roman"/>
                <w:szCs w:val="21"/>
              </w:rPr>
              <w:t>（二）拟改建或者新建建筑物符合该宗教的建筑规制，与该场所的内外环境相协调；（三）符合国土空间规划和生态环境保护、自然保护区、建设、消防、文物保护、非物质文化遗产保护等方面的规定；（四）有必要的建设资金，资金来源渠道合法，且不带商业投资性质；（五）法律、法规规定的其他条件。”</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《宗教事务条例》、《四川省宗教事务条例》、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表2-125</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宗教团体成立、变更、注销前审批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1.《宗教事务条例》（2004年11月30日中华人民共和国国务院令第426号公布2017年6月14日国务院第176次常务会议修订通过）第七条：“宗教团体的成立、变更和注销，应当依照国家社会团体管理的有关规定办理登记。</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宗教团体章程应当符合国家社会团体管理的有关规定。宗教团体按照章程开展活动，受法律保护。”</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2.</w:t>
            </w:r>
            <w:r>
              <w:rPr>
                <w:rFonts w:hint="eastAsia" w:ascii="Times New Roman" w:hAnsi="Times New Roman"/>
              </w:rPr>
              <w:t>《</w:t>
            </w:r>
            <w:r>
              <w:rPr>
                <w:rFonts w:hint="eastAsia" w:ascii="Times New Roman" w:hAnsi="Times New Roman"/>
                <w:szCs w:val="21"/>
              </w:rPr>
              <w:t>宗教社会团体登记管理实施办法》第三条：“全国性宗教社会团体应经国务院宗教事务局审查同意后，向民政部申请登记。区域性宗教社会团体经所在地相应的政府宗教事务部门审查同意后，  向当地民政部门申请登记，并由当地政府宗教事务部门报上一级政府宗教事务部门备案。天主教教区必须经该教区办事机构所在地省级政府宗教事务部门审查同意后，向省级民政部门申请登记，于由当地省级政府宗教事务部门向国务院宗教事务局备案。” 第四条：“宗教社会团体登记的条件：(一)有团体名称、办公地址和负责人；</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(二)有不违反宪法、法律法规的章程；(三)有合法的经济来源； (四)有可考证的、符合我国现存宗教历史沿革的、不违背本团体章程的经典、教义、教规；(五)组织机构的组成人员有广泛的代表性。”</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3.</w:t>
            </w:r>
            <w:r>
              <w:rPr>
                <w:rFonts w:hint="eastAsia" w:ascii="Times New Roman" w:hAnsi="Times New Roman"/>
              </w:rPr>
              <w:t>《四川省宗教事务条例》</w:t>
            </w:r>
            <w:r>
              <w:rPr>
                <w:rFonts w:hint="eastAsia" w:ascii="Times New Roman" w:hAnsi="Times New Roman"/>
                <w:szCs w:val="21"/>
              </w:rPr>
              <w:t>（2000年5月9日四川省第九届人民代表大会常务委员会第十六次会议通过，根据2006年11月30日四川省第十届人民代表大会常务委员会第二十四次会议《关于修改〈四川省宗教事务条例〉的决定》修正，2019年11月28日四川省第十三届人民代表大会常务委员会第十四次会议修订）第十一条：“宗教团体的成立、变更和注销，由申请人向所在地的县级以上地方人民政府宗教事务部门提出申请。县级以上地方人民政府宗教事务部门应当自受理申请之日起二十日内提出审查意见。审查同意的，申请人按照国家社会团体管理的有关规定，到同级人民政府民政部门办理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hint="eastAsia" w:ascii="Times New Roman" w:hAnsi="Times New Roman"/>
              </w:rPr>
              <w:t xml:space="preserve"> </w:t>
            </w:r>
            <w:r>
              <w:rPr>
                <w:rFonts w:hint="eastAsia" w:ascii="Times New Roman" w:hAnsi="Times New Roman"/>
                <w:szCs w:val="21"/>
              </w:rPr>
              <w:t>1.《宗教事务条例》（2004年11月30日中华人民共和国国务院令第426号公布2017年6月14日国务院第176次常务会议修订通过）第七条：“宗教团体的成立、变更和注销，应当依照国家社会团体管理的有关规定办理登记。宗教团体章程应当符合国家社会团体管理的有关规定。宗教团体按照章程开展活动，受法律保护。”</w:t>
            </w:r>
          </w:p>
          <w:p>
            <w:pPr>
              <w:spacing w:line="360" w:lineRule="exact"/>
              <w:ind w:firstLine="420" w:firstLineChars="200"/>
              <w:jc w:val="left"/>
              <w:rPr>
                <w:rFonts w:ascii="Times New Roman" w:hAnsi="Times New Roman"/>
                <w:szCs w:val="21"/>
              </w:rPr>
            </w:pPr>
            <w:r>
              <w:rPr>
                <w:rFonts w:hint="eastAsia" w:ascii="Times New Roman" w:hAnsi="Times New Roman"/>
                <w:szCs w:val="21"/>
              </w:rPr>
              <w:t>1-3.《宗教社会团体登记管理实施办法》第三条：“全国性宗教社会团体应经国务院宗教事务局审查同意后，向民政部申请登记。区域性宗教社会团体经所在地相应的政府宗教事务部门审查同意后，  向当地民政部门申请登记，并由当地政府宗教事务部门报上一级政府宗教事务部门备案。天主教教区必须经该教区办事机构所在地省级政府宗教事务部门审查同意后，向省级民政部门申请登记，于由当地省级政府宗教事务部门向国务院宗教事务局备案。” 第四条：“宗教社会团体登记的条件：(一)有团体名称、办公地址和负责人；(二)有不违反宪法、法律法规的章程；(三)有合法的经济来源； (四)有可考证的、符合我国现存宗教历史沿革的、不违背本团体章程的经典、教义、教规；(五)组织机构的组成人员有广泛的代表性。”</w:t>
            </w:r>
          </w:p>
          <w:p>
            <w:pPr>
              <w:spacing w:line="360" w:lineRule="exact"/>
              <w:ind w:firstLine="420" w:firstLineChars="200"/>
              <w:jc w:val="left"/>
              <w:rPr>
                <w:rFonts w:ascii="Times New Roman" w:hAnsi="Times New Roman"/>
                <w:szCs w:val="21"/>
              </w:rPr>
            </w:pPr>
            <w:r>
              <w:rPr>
                <w:rFonts w:hint="eastAsia" w:ascii="Times New Roman" w:hAnsi="Times New Roman"/>
                <w:szCs w:val="21"/>
              </w:rPr>
              <w:t>1-4.《四川省宗教事务条例》（2000年5月9日四川省第九届人民代表大会常务委员会第十六次会议通过，根据2006年11月30日四川省第十届人民代表大会常务委员会第二十四次会议《关于修改〈四川省宗教事务条例〉的决定》修正，2019年11月28日四川省第十三届人民代表大会常务委员会第十四次会议修订）第十一条：“宗教团体的成立、变更和注销，由申请人向所在地的县级以上地方人民政府宗教事务部门提出申请。县级以上地方人民政府宗教事务部门应当自受理申请之日起二十日内提出审查意见。审查同意的，申请人按照国家社会团体管理的有关规定，到同级人民政府民政部门办理登记。”</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《宗教事务条例》、《宗教社会团体登记管理实施办法》、《四川省宗教事务条例》、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widowControl/>
        <w:spacing w:line="360" w:lineRule="exact"/>
        <w:ind w:firstLine="640" w:firstLineChars="200"/>
        <w:jc w:val="left"/>
        <w:rPr>
          <w:rFonts w:ascii="Times New Roman" w:hAnsi="Times New Roman" w:eastAsia="方正黑体简体"/>
          <w:kern w:val="0"/>
          <w:sz w:val="32"/>
          <w:szCs w:val="32"/>
        </w:rPr>
      </w:pPr>
    </w:p>
    <w:p>
      <w:pPr>
        <w:widowControl/>
        <w:spacing w:line="360" w:lineRule="exact"/>
        <w:jc w:val="left"/>
        <w:rPr>
          <w:rFonts w:ascii="Times New Roman" w:hAnsi="Times New Roman" w:eastAsia="方正黑体简体"/>
          <w:kern w:val="0"/>
          <w:sz w:val="32"/>
          <w:szCs w:val="32"/>
        </w:rPr>
      </w:pPr>
      <w:r>
        <w:rPr>
          <w:rFonts w:ascii="Times New Roman" w:hAnsi="Times New Roman" w:eastAsia="方正黑体简体"/>
          <w:kern w:val="0"/>
          <w:sz w:val="32"/>
          <w:szCs w:val="32"/>
        </w:rPr>
        <w:br w:type="page"/>
      </w:r>
    </w:p>
    <w:p>
      <w:pPr>
        <w:pStyle w:val="3"/>
        <w:spacing w:line="360" w:lineRule="exact"/>
        <w:rPr>
          <w:rFonts w:ascii="Times New Roman" w:hAnsi="Times New Roman"/>
          <w:sz w:val="24"/>
        </w:rPr>
      </w:pPr>
      <w:r>
        <w:rPr>
          <w:rFonts w:hint="eastAsia" w:ascii="Times New Roman" w:hAnsi="Times New Roman"/>
        </w:rPr>
        <w:t>表2-126</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临时占用公共体育场（馆）设施审批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1.《中华人民共和国体育法》（1995年8月29日第八届全国人民代表大会常务委员会第十五次会议通过；根据2009年8月27日第十一届全国人民代表大会常务委员会第十次会议《关于修改部分法律的决定》修正）第四十五条：“任何组织和个人不得侵占、破坏公共体育设施。因特殊情况需要临时占用体育设施的，必须经体育行政部门和建设规划部门批准,并及时归还；按照城市规划改变体育场地用途的,应当按照国家有关规定，先行择地新建偿还。”</w:t>
            </w:r>
          </w:p>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2.《公共文化体育设施条例》（2003年国务院第382号令）第七条：“县级以上地方人民政府文化行政主管部门、体育行政主管部门依据本级人民政府规定的职责，负责本行政区域内的公共文化体育设施的监督管理。”</w:t>
            </w:r>
            <w:r>
              <w:rPr>
                <w:rFonts w:ascii="Times New Roman" w:hAnsi="Times New Roman"/>
                <w:szCs w:val="21"/>
              </w:rPr>
              <w:t> 第二十二条</w:t>
            </w:r>
            <w:r>
              <w:rPr>
                <w:rFonts w:hint="eastAsia" w:ascii="Times New Roman" w:hAnsi="Times New Roman"/>
                <w:szCs w:val="21"/>
              </w:rPr>
              <w:t>：“</w:t>
            </w:r>
            <w:r>
              <w:rPr>
                <w:rFonts w:ascii="Times New Roman" w:hAnsi="Times New Roman"/>
                <w:szCs w:val="21"/>
              </w:rPr>
              <w:t>公共文化设施管理单位可以将设施出租用于举办文物展览、美术展览、艺术培训等文化活动。公共体育设施管理单位不得将设施的主体部分用于非体育活动。但是，因举办公益性活动或者大型文化活动等特殊情况临时出租的除外。临时出租时间一般不得超过１０日；租用期满，租用者应当恢复原状，不得影响该设施的功能、用途。</w:t>
            </w:r>
            <w:r>
              <w:rPr>
                <w:rFonts w:hint="eastAsia" w:ascii="Times New Roman" w:hAns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中华人民共和国体育法》（1995年8月29日第八届全国人民代表大会常务委员会第十五次会议通过；根据2009年8月27日第十一届全国人民代表大会常务委员会第十次会议《关于修改部分法律的决定》修正）第四十五条：“任何组织和个人不得侵占、破坏公共体育设施。因特殊情况需要临时占用体育设施的，必须经体育行政部门和建设规划部门批准,并及时归还；按照城市规划改变体育场地用途的,应当按照国家有关规定，先行择地新建偿还。”</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《中华人民共和国体育法》、《公共文化体育设施条例》、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表2-127</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乡镇设立广播电视站和机关、部队、团体、企业事业单位设立有线广播电视站审批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1.</w:t>
            </w:r>
            <w:r>
              <w:rPr>
                <w:rFonts w:ascii="Times New Roman" w:hAnsi="Times New Roman" w:cs="Arial"/>
                <w:szCs w:val="21"/>
                <w:shd w:val="clear" w:color="auto" w:fill="FFFFFF"/>
              </w:rPr>
              <w:t xml:space="preserve"> </w:t>
            </w:r>
            <w:r>
              <w:rPr>
                <w:rFonts w:hint="eastAsia" w:ascii="Times New Roman" w:hAnsi="Times New Roman" w:cs="Arial"/>
                <w:szCs w:val="21"/>
                <w:shd w:val="clear" w:color="auto" w:fill="FFFFFF"/>
              </w:rPr>
              <w:t>《广播电视管理条例》（1997年8月11日国务院令第228号）第十五条：“乡、镇设立广播电视站的，由所在地县级以上人民政府广播电视行政部门负责审核，并按照国务院广播电视行政部门的有关规定审批。机关、部队、团体、企业事业单位设立有线广播电视站的，按照国务院有关规定审批。”</w:t>
            </w:r>
          </w:p>
          <w:p>
            <w:pPr>
              <w:widowControl/>
              <w:shd w:val="clear" w:color="auto" w:fill="FFFFFF"/>
              <w:spacing w:line="360" w:lineRule="exact"/>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2、《广播电视站审批管理暂行规定》（2004年7月6日国家广播电影电视总局令第32号）第五条：</w:t>
            </w:r>
            <w:r>
              <w:rPr>
                <w:rFonts w:hint="eastAsia" w:ascii="Times New Roman" w:hAnsi="Times New Roman"/>
                <w:szCs w:val="21"/>
              </w:rPr>
              <w:t>“申请设立广播电视站，须由申请单位向当地县级以上广播电视行政部门提出申请，逐级审核同意后，报省级广播电视行政部门审批。申请设立广播电视站，应提交以下材料：（一）申请书；（二）广播电视节目转播技术方案、覆盖范围以及自办广播业务或电视业务的主要内容；（三）人员、资金、场地、设备的相关材料；（四）省级广播电视行政部门要求提交的其它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left="420" w:leftChars="200"/>
              <w:rPr>
                <w:rFonts w:ascii="Times New Roman" w:hAnsi="Times New Roman"/>
                <w:szCs w:val="21"/>
              </w:rPr>
            </w:pPr>
            <w:r>
              <w:rPr>
                <w:rFonts w:hint="eastAsia" w:ascii="Times New Roman" w:hAnsi="Times New Roman"/>
                <w:szCs w:val="21"/>
              </w:rPr>
              <w:t>2.审查责任：对申请人提交的申请材料进行审查，报送上级主管部门。3.其他责任：法律法规规章文件规定应履行的其他责任。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广播电视管理条例》（1997年8月11日国务院令第228号）第十五条：“乡、镇设立广播电视站的，由所在地县级以上人民政府广播电视行政部门负责审核，并按照国务院广播电视行政部门的有关规定审批。机关、部队、团体、企业事业单位设立有线广播电视站的，按照国务院有关规定审批。”</w:t>
            </w:r>
          </w:p>
          <w:p>
            <w:pPr>
              <w:spacing w:line="360" w:lineRule="exact"/>
              <w:ind w:firstLine="420" w:firstLineChars="200"/>
              <w:jc w:val="left"/>
              <w:rPr>
                <w:rFonts w:ascii="Times New Roman" w:hAnsi="Times New Roman"/>
                <w:szCs w:val="21"/>
              </w:rPr>
            </w:pPr>
            <w:r>
              <w:rPr>
                <w:rFonts w:hint="eastAsia" w:ascii="Times New Roman" w:hAnsi="Times New Roman"/>
                <w:szCs w:val="21"/>
              </w:rPr>
              <w:t>1-3. 《广播电视站审批管理暂行规定》（2004年7月6日国家广播电影电视总局令第32号）第五条：“申请设立广播电视站，须由申请单位向当地县级以上广播电视行政部门提出申请，逐级审核同意后，报省级广播电视行政部门审批。申请设立广播电视站，应提交以下材料：（一）申请书；（二）广播电视节目转播技术方案、覆盖范围以及自办广播业务或电视业务的主要内容；（三）人员、资金、场地、设备的相关材料；（四）省级广播电视行政部门要求提交的其它文件。”</w:t>
            </w:r>
            <w:r>
              <w:rPr>
                <w:rFonts w:hint="eastAsia" w:ascii="Times New Roman" w:hAnsi="Times New Roman"/>
                <w:szCs w:val="21"/>
              </w:rPr>
              <w:br w:type="textWrapping"/>
            </w:r>
            <w:r>
              <w:rPr>
                <w:rFonts w:hint="eastAsia" w:ascii="Times New Roman" w:hAnsi="Times New Roman"/>
                <w:szCs w:val="21"/>
              </w:rPr>
              <w:t xml:space="preserve">    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4.成都市成华区人民政府关于印发《成华区相对集中行政许可权改革工作实施方案》的通知（成华府发〔2019〕3号）。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cs="Arial"/>
                <w:szCs w:val="21"/>
                <w:shd w:val="clear" w:color="auto" w:fill="FFFFFF"/>
              </w:rPr>
              <w:t>《广播电视管理条例》</w:t>
            </w:r>
            <w:r>
              <w:rPr>
                <w:rFonts w:hint="eastAsia" w:ascii="Times New Roman" w:hAnsi="Times New Roman"/>
                <w:szCs w:val="21"/>
              </w:rPr>
              <w:t>、《广播电视站审批管理暂行规定》、</w:t>
            </w:r>
            <w:r>
              <w:rPr>
                <w:rFonts w:ascii="Times New Roman" w:hAnsi="Times New Roman"/>
                <w:szCs w:val="21"/>
              </w:rPr>
              <w:t>《行政机关公务员处分条例》、《四川省行政审批违法违纪行为责任追究办法》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widowControl/>
        <w:spacing w:line="360" w:lineRule="exact"/>
        <w:jc w:val="left"/>
        <w:rPr>
          <w:rFonts w:ascii="Times New Roman" w:hAnsi="Times New Roman" w:eastAsia="方正黑体简体"/>
          <w:kern w:val="0"/>
          <w:sz w:val="32"/>
          <w:szCs w:val="32"/>
        </w:rPr>
      </w:pPr>
      <w:r>
        <w:rPr>
          <w:rFonts w:ascii="Times New Roman" w:hAnsi="Times New Roman" w:eastAsia="方正黑体简体"/>
          <w:kern w:val="0"/>
          <w:sz w:val="32"/>
          <w:szCs w:val="32"/>
        </w:rPr>
        <w:br w:type="page"/>
      </w:r>
    </w:p>
    <w:p>
      <w:pPr>
        <w:pStyle w:val="3"/>
        <w:spacing w:line="360" w:lineRule="exact"/>
        <w:rPr>
          <w:rFonts w:ascii="Times New Roman" w:hAnsi="Times New Roman"/>
          <w:sz w:val="24"/>
        </w:rPr>
      </w:pPr>
      <w:r>
        <w:rPr>
          <w:rFonts w:hint="eastAsia" w:ascii="Times New Roman" w:hAnsi="Times New Roman"/>
        </w:rPr>
        <w:t>表2-128</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Arial"/>
                <w:szCs w:val="21"/>
                <w:shd w:val="clear" w:color="auto" w:fill="FFFFFF"/>
              </w:rPr>
              <w:t>对新闻出版广电总局负责的广播电台、电视台设立、终止审批的初审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1.《广播电视管理条例》（1997年8月11日国务院令第228号）第十一条：“中央的广播电台、电视台由国务院广播电视行政部门设立。地方设立广播电台、电视台的，由县、不设区的市以上地方人民政府广播电视行政部门提出申请，本级人民政府审查同意后，逐级上报，经国务院广播电视行政部门审查批准后，方可筹建。 中央的教育电视台由国务院教育行政部门设立，报国务院广播电视行政部门审查批准。地方设立教育电视台的，由社区的市、自治州以上地方人民政府教育行政部门提出申请，征得同级广播电视行政部门同意并经本级人民政府审查同意后，逐级上报，经国务院教育行政部门审核，由国务院广播电视行政部门审查批准后，方可筹建。”第十四条第一款：“广播电台、电视台终止，应当按照原审批程序申报，其许可证由国务院广播电视行政部门收回。”</w:t>
            </w:r>
          </w:p>
          <w:p>
            <w:pPr>
              <w:widowControl/>
              <w:shd w:val="clear" w:color="auto" w:fill="FFFFFF"/>
              <w:spacing w:line="360" w:lineRule="exact"/>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2、《广播电台电视台审批管理办法》（2004年8月18日国家广播电影电视总局令第37号）第十九条：“广播电台、电视台终止的，应充分说明理由，并按原设立审批程序逐级上报广电总局审批，其《广播电视播出机构许可证》及《广播电视频道许可证》由广电总局收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left="420" w:leftChars="200"/>
              <w:rPr>
                <w:rFonts w:ascii="Times New Roman" w:hAnsi="Times New Roman"/>
                <w:szCs w:val="21"/>
              </w:rPr>
            </w:pPr>
            <w:r>
              <w:rPr>
                <w:rFonts w:hint="eastAsia" w:ascii="Times New Roman" w:hAnsi="Times New Roman"/>
                <w:szCs w:val="21"/>
              </w:rPr>
              <w:t>2.审查责任：对申请人提交的申请材料进行审查，报送上级主管部门。3.其他责任：法律法规规章文件规定应履行的其他责任。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rPr>
                <w:rFonts w:ascii="Times New Roman" w:hAnsi="Times New Roman"/>
                <w:szCs w:val="21"/>
              </w:rPr>
            </w:pPr>
            <w:r>
              <w:rPr>
                <w:rFonts w:hint="eastAsia" w:ascii="Times New Roman" w:hAnsi="Times New Roman"/>
                <w:szCs w:val="21"/>
              </w:rPr>
              <w:t>1-2.《广播电视管理条例》（1997年8月11日国务院令第228号）第十一条：“中央的广播电台、电视台由国务院广播电视行政部门设立。地方设立广播电台、电视台的，由县、不设区的市以上地方人民政府广播电视行政部门提出申请，本级人民政府审查同意后，逐级上报，经国务院广播电视行政部门审查批准后，方可筹建。 中央的教育电视台由国务院教育行政部门设立，报国务院广播电视行政部门审查批准。地方设立教育电视台的，由社区的市、自治州以上地方人民政府教育行政部门提出申请，征得同级广播电视行政部门同意并经本级人民政府审查同意后，逐级上报，经国务院教育行政部门审核，由国务院广播电视行政部门审查批准后，方可筹建。”第十四条第一款：“广播电台、电视台终止，应当按照原审批程序申报，其许可证由国务院广播电视行政部门收回。”</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1-3.《广播电台电视台审批管理办法》（2004年8月18日国家广播电影电视总局令第37号）第十九条：“广播电台、电视台终止的，应充分说明理由，并按原设立审批程序逐级上报广电总局审批，其《广播电视播出机构许可证》及《广播电视频道许可证》由广电总局收回。”  </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4.成都市成华区人民政府关于印发《成华区相对集中行政许可权改革工作实施方案》的通知（成华府发〔2019〕3号）。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cs="Arial"/>
                <w:szCs w:val="21"/>
                <w:shd w:val="clear" w:color="auto" w:fill="FFFFFF"/>
              </w:rPr>
              <w:t>《广播电视管理条例》</w:t>
            </w:r>
            <w:r>
              <w:rPr>
                <w:rFonts w:hint="eastAsia" w:ascii="Times New Roman" w:hAnsi="Times New Roman"/>
                <w:szCs w:val="21"/>
              </w:rPr>
              <w:t>、《广播电台电视台审批管理办法》、</w:t>
            </w:r>
            <w:r>
              <w:rPr>
                <w:rFonts w:ascii="Times New Roman" w:hAnsi="Times New Roman"/>
                <w:szCs w:val="21"/>
              </w:rPr>
              <w:t>《行政机关公务员处分条例》、《四川省行政审批违法违纪行为责任追究办法》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表2-129</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Arial"/>
                <w:szCs w:val="21"/>
                <w:shd w:val="clear" w:color="auto" w:fill="FFFFFF"/>
              </w:rPr>
              <w:t>有线广播电视传输覆盖网工程建设及验收审核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1.《广播电视管理条例》（1997年8月11日国务院令第228号）第二十二条:“广播电视传输覆盖网的工程选址、设计、施工、安装，应当按照国家有关规定办理，并由依法取得相应资格证书的单位承担。广播电视传输覆盖网的工程建设和使用的广播电视技术设备，应当符合国家标准、行业标准。工程竣工后，由广播电视行政部门组织验收，验收合格的，方可投入使用。”第十七条：“国务院广播电视行政部门应当对全国广播电视传输覆盖网按照国家的统一标准实行统一规划，并实行分级建设和开发。县级以上地方人民政府广播电视行政部门应当按照国家有关规定，组建和管理本行政区域内的广播电视传输覆盖网。组建广播电视传输覆盖网，包括充分利用国家现有的公用通信等各种网络资源，应当确保广播电视节目传输质量和畅通。本条例所称广播电视传输覆盖网，由广播电视发射台、转播台（包括差转台、收转台，下同）、广播电视卫星、卫星上行站、卫星收转站、微波站、监测台（站）及有线广播电视传输覆盖网等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left="420" w:leftChars="200"/>
              <w:rPr>
                <w:rFonts w:ascii="Times New Roman" w:hAnsi="Times New Roman"/>
                <w:szCs w:val="21"/>
              </w:rPr>
            </w:pPr>
            <w:r>
              <w:rPr>
                <w:rFonts w:hint="eastAsia" w:ascii="Times New Roman" w:hAnsi="Times New Roman"/>
                <w:szCs w:val="21"/>
              </w:rPr>
              <w:t>2.审查责任：对申请人提交的申请材料进行审查，报送上级主管部门。3.其他责任：法律法规规章文件规定应履行的其他责任。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广播电视管理条例》（1997年8月11日国务院令第228号）第二十二条:“广播电视传输覆盖网的工程选址、设计、施工、安装，应当按照国家有关规定办理，并由依法取得相应资格证书的单位承担。广播电视传输覆盖网的工程建设和使用的广播电视技术设备，应当符合国家标准、行业标准。工程竣工后，由广播电视行政部门组织验收，验收合格的，方可投入使用。”第十七条：“国务院广播电视行政部门应当对全国广播电视传输覆盖网按照国家的统一标准实行统一规划，并实行分级建设和开发。县级以上地方人民政府广播电视行政部门应当按照国家有关规定，组建和管理本行政区域内的广播电视传输覆盖网。组建广播电视传输覆盖网，包括充分利用国家现有的公用通信等各种网络资源，应当确保广播电视节目传输质量和畅通。本条例所称广播电视传输覆盖网，由广播电视发射台、转播台（包括差转台、收转台，下同）、广播电视卫星、卫星上行站、卫星收转站、微波站、监测台（站）及有线广播电视传输覆盖网等构成。”</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4.成都市成华区人民政府关于印发《成华区相对集中行政许可权改革工作实施方案》的通知（成华府发〔2019〕3号）。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cs="Arial"/>
                <w:szCs w:val="21"/>
                <w:shd w:val="clear" w:color="auto" w:fill="FFFFFF"/>
              </w:rPr>
              <w:t>《广播电视管理条例》</w:t>
            </w:r>
            <w:r>
              <w:rPr>
                <w:rFonts w:hint="eastAsia" w:ascii="Times New Roman" w:hAnsi="Times New Roman"/>
                <w:szCs w:val="21"/>
              </w:rPr>
              <w:t>、</w:t>
            </w:r>
            <w:r>
              <w:rPr>
                <w:rFonts w:ascii="Times New Roman" w:hAnsi="Times New Roman"/>
                <w:szCs w:val="21"/>
              </w:rPr>
              <w:t>《行政机关公务员处分条例》、《四川省行政审批违法违纪行为责任追究办法》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表2-130</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渔业船舶船员证书核发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szCs w:val="21"/>
              </w:rPr>
              <w:t>《中华人民共和国渔业船员管理办法》（2014年5月4日农业部第4次常务会议审议通过，现予公布，自2015年1月1日起施行）第四条：“渔业船员实行持证上岗制度。渔业船员应当按照本办法的规定接受培训，经考试或考核合格、取得相应的渔业船员证书后，方可在渔业船舶上工作。在远洋渔业船舶上工作的中国籍船员，还应当按照有关规定取得中华人民共和国海员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 《中华人民共和国渔业船员管理办法》（2014年5月4日农业部第4次常务会议审议通过，现予公布，自2015年1月1日起施行）第四条：“渔业船员实行持证上岗制度。渔业船员应当按照本办法的规定接受培训，经考试或考核合格、取得相应的渔业船员证书后，方可在渔业船舶上工作。在远洋渔业船舶上工作的中国籍船员，还应当按照有关规定取得中华人民共和国海员证。”</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《中华人民共和国渔业船员管理办法》、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表2-131</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渔业船舶登记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pacing w:before="90" w:after="180" w:line="360" w:lineRule="exact"/>
              <w:jc w:val="left"/>
              <w:rPr>
                <w:rFonts w:ascii="Times New Roman" w:hAnsi="Times New Roman" w:cs="宋体"/>
                <w:color w:val="333333"/>
                <w:kern w:val="0"/>
                <w:szCs w:val="21"/>
              </w:rPr>
            </w:pPr>
            <w:r>
              <w:rPr>
                <w:rFonts w:hint="eastAsia" w:ascii="Times New Roman" w:hAnsi="Times New Roman"/>
                <w:szCs w:val="21"/>
              </w:rPr>
              <w:t>《中华人民共和国渔业船舶登记办法》（2012年10月22日农业部令2012年第8号公布，2013年12月31日农业部令2013年第5号修订）</w:t>
            </w:r>
            <w:r>
              <w:rPr>
                <w:rFonts w:hint="eastAsia" w:ascii="Times New Roman" w:hAnsi="Times New Roman" w:cs="宋体"/>
                <w:kern w:val="0"/>
                <w:szCs w:val="21"/>
              </w:rPr>
              <w:t>第三条：“农业部主管全国渔业船舶登记工作。中华人民共和国渔政局具体负责全国渔业船舶登记及其监督管理工作。县级以上地方人民政府渔业行政主管部门主管本行政区域内的渔业船舶登记工作。县级以上地方人民政府渔业行政主管部门所属的渔港监督机关（以下称登记机关）依照规定权限负责本行政区域内的渔业船舶登记及其监督管理工作。”</w:t>
            </w:r>
            <w:r>
              <w:rPr>
                <w:rFonts w:hint="eastAsia" w:ascii="Times New Roman" w:hAnsi="Times New Roman"/>
              </w:rPr>
              <w:t xml:space="preserve"> </w:t>
            </w:r>
            <w:r>
              <w:rPr>
                <w:rFonts w:hint="eastAsia" w:ascii="Times New Roman" w:hAnsi="Times New Roman" w:cs="宋体"/>
                <w:kern w:val="0"/>
                <w:szCs w:val="21"/>
              </w:rPr>
              <w:t>第六条：“渔业船舶所有人应当向户籍所在地或企业注册地的县级以上登记机关申请办理渔业船舶登记。远洋渔业船舶登记由渔业船舶所有人向所在地省级登记机关申请办理。中央在京直属企业所属远洋渔业船舶登记由渔业船舶所有人向船舶所在地的省级登记机关申请办理。渔业船舶登记的港口是渔业船舶的船籍港。每艘渔业船舶只能有一个船籍港。省级登记机关应当根据本行政区域渔业船舶管理实际确定省级以下登记机关的登记权限和船籍港名称，并对外公告。”</w:t>
            </w:r>
            <w:r>
              <w:rPr>
                <w:rFonts w:hint="eastAsia" w:ascii="Times New Roman" w:hAnsi="Times New Roman"/>
              </w:rPr>
              <w:t xml:space="preserve"> </w:t>
            </w:r>
            <w:r>
              <w:rPr>
                <w:rFonts w:hint="eastAsia" w:ascii="Times New Roman" w:hAnsi="Times New Roman" w:cs="宋体"/>
                <w:kern w:val="0"/>
                <w:szCs w:val="21"/>
              </w:rPr>
              <w:t>第八条：“登记机关应当将登记的事项、依据、条件、程序、期限以及需要提交的全部材料目录和申请书示范文本在办公场所进行公示。登记机关应当自受理申请之日起二十个工作日内作出是否准予渔业船舶登记的决定。不予登记的，书面通知当事人并说明理由。”</w:t>
            </w:r>
            <w:r>
              <w:rPr>
                <w:rFonts w:hint="eastAsia" w:ascii="Times New Roman" w:hAnsi="Times New Roman"/>
              </w:rPr>
              <w:t xml:space="preserve"> </w:t>
            </w:r>
            <w:r>
              <w:rPr>
                <w:rFonts w:hint="eastAsia" w:ascii="Times New Roman" w:hAnsi="Times New Roman" w:cs="宋体"/>
                <w:kern w:val="0"/>
                <w:szCs w:val="21"/>
              </w:rPr>
              <w:t>第十五条：“渔业船舶所有权登记，由渔业船舶所有人申请。共有的渔业船舶，由持股比例最大的共有人申请；持股比例相同的，由约定的共有人一方申请。申请渔业船舶所有权登记，应当填写渔业船舶所有权登记申请表，并提交下列材料：（一）渔业船舶所有人户口簿或企业法人营业执照；（二）取得渔业船舶所有权的证明文件：1.制造渔业船舶，提交建造合同和交接文件；2.购置渔业船舶，提交买卖合同和交接文件；3.因继承、赠与、拍卖以及法院判决等原因取得所有权的，提交具有相应法律效力的证明文件；4.渔业船舶共有的，提交共有协议；5.其他证明渔业船舶合法来源的文件。（三）渔业船舶检验证书、依法需要取得的渔业船舶船名核定书；（四）反映船舶全貌和主要特征的渔业船舶照片；（五）原船籍港登记机关出具的渔业船舶所有权注销登记证明书（制造渔业船舶除外）；（六）捕捞渔船和捕捞辅助船的渔业船网工具指标批准书；（七）养殖渔船所有人持有的养殖证；（八）进口渔业船舶的准予进口批准文件和办结海关手续的证明；（九）农业部规定的其他材料。登记机关准予登记的，向渔业船舶所有人核发渔业船舶所有权登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 《中华人民共和国渔业船舶登记办法》（2012年10月22日农业部令2012年第8号公布，2013年12月31日农业部令2013年第5号修订）第三条：“农业部主管全国渔业船舶登记工作。中华人民共和国渔政局具体负责全国渔业船舶登记及其监督管理工作。县级以上地方人民政府渔业行政主管部门主管本行政区域内的渔业船舶登记工作。县级以上地方人民政府渔业行政主管部门所属的渔港监督机关（以下称登记机关）依照规定权限负责本行政区域内的渔业船舶登记及其监督管理工作。” 第六条：“渔业船舶所有人应当向户籍所在地或企业注册地的县级以上登记机关申请办理渔业船舶登记。远洋渔业船舶登记由渔业船舶所有人向所在地省级登记机关申请办理。中央在京直属企业所属远洋渔业船舶登记由渔业船舶所有人向船舶所在地的省级登记机关申请办理。渔业船舶登记的港口是渔业船舶的船籍港。每艘渔业船舶只能有一个船籍港。省级登记机关应当根据本行政区域渔业船舶管理实际确定省级以下登记机关的登记权限和船籍港名称，并对外公告。” 第八条：“登记机关应当将登记的事项、依据、条件、程序、期限以及需要提交的全部材料目录和申请书示范文本在办公场所进行公示。登记机关应当自受理申请之日起二十个工作日内作出是否准予渔业船舶登记的决定。不予登记的，书面通知当事人并说明理由。” 第十五条：“渔业船舶所有权登记，由渔业船舶所有人申请。共有的渔业船舶，由持股比例最大的共有人申请；持股比例相同的，由约定的共有人一方申请。申请渔业船舶所有权登记，应当填写渔业船舶所有权登记申请表，并提交下列材料：（一）渔业船舶所有人户口簿或企业法人营业执照；（二）取得渔业船舶所有权的证明文件：1.制造渔业船舶，提交建造合同和交接文件；2.购置渔业船舶，提交买卖合同和交接文件；3.因继承、赠与、拍卖以及法院判决等原因取得所有权的，提交具有相应法律效力的证明文件；4.渔业船舶共有的，提交共有协议；5.其他证明渔业船舶合法来源的文件。（三）渔业船舶检验证书、依法需要取得的渔业船舶船名核定书；（四）反映船舶全貌和主要特征的渔业船舶照片；（五）原船籍港登记机关出具的渔业船舶所有权注销登记证明书（制造渔业船舶除外）；（六）捕捞渔船和捕捞辅助船的渔业船网工具指标批准书；（七）养殖渔船所有人持有的养殖证；（八）进口渔业船舶的准予进口批准文件和办结海关手续的证明；（九）农业部规定的其他材料。登记机关准予登记的，向渔业船舶所有人核发渔业船舶所有权登记证书。</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w:t>
            </w:r>
            <w:r>
              <w:rPr>
                <w:rFonts w:hint="eastAsia" w:ascii="Times New Roman" w:hAnsi="Times New Roman"/>
              </w:rPr>
              <w:t>《中华人民共和国渔业船舶登记办法》（2012年10月22日农业部令2012年第8号公布，2013年12月31日农业部令2013年第5号修订）</w:t>
            </w:r>
            <w:r>
              <w:rPr>
                <w:rFonts w:hint="eastAsia" w:ascii="Times New Roman" w:hAnsi="Times New Roman"/>
                <w:szCs w:val="21"/>
              </w:rPr>
              <w:t>第八条：“登记机关应当将登记的事项、依据、条件、程序、期限以及需要提交的全部材料目录和申请书示范文本在办公场所进行公示。登记机关应当自受理申请之日起二十个工作日内作出是否准予渔业船舶登记的决定。不予登记的，书面通知当事人并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《中华人民共和国渔业船舶登记办法》、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表2-132</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拖拉机/联合收割机登记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rPr>
              <w:t>《</w:t>
            </w:r>
            <w:r>
              <w:rPr>
                <w:rFonts w:hint="eastAsia" w:ascii="Times New Roman" w:hAnsi="Times New Roman"/>
                <w:szCs w:val="21"/>
              </w:rPr>
              <w:t>农业机械安全监督管理条例》（2009年9月7日国务院第80次常务会议通过，2009年9月17日中华人民共和国国务院令第563号公布，自2009年11月1日起施行 根据2016年2月6日中华人民共和国国务院令第666号公布的《国务院关于修改部分行政法规的决定》第一次修正 根据2019年3月2日中华人民共和国国务院令第709号公布的《国务院关于修改部分行政法规的决定》第二次修正）第二十一条：“拖拉机、联合收割机投入使用前，其所有人应当按照国务院农业机械化主管部门的规定，持本人身份证明和机具来源证明，向所在地县级人民政府农业机械化主管部门申请登记。拖拉机、联合收割机经安全检验合格的，农业机械化主管部门应当在2个工作日内予以登记并核发相应的证书和牌照。拖拉机、联合收割机使用期间登记事项发生变更的，其所有人应当按照国务院农业机械化主管部门的规定申请变更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 《农业机械安全监督管理条例》（2009年9月7日国务院第80次常务会议通过，2009年9月17日中华人民共和国国务院令第563号公布，自2009年11月1日起施行 根据2016年2月6日中华人民共和国国务院令第666号公布的《国务院关于修改部分行政法规的决定》第一次修正 根据2019年3月2日中华人民共和国国务院令第709号公布的《国务院关于修改部分行政法规的决定》第二次修正）第二十一条：“拖拉机、联合收割机投入使用前，其所有人应当按照国务院农业机械化主管部门的规定，持本人身份证明和机具来源证明，向所在地县级人民政府农业机械化主管部门申请登记。拖拉机、联合收割机经安全检验合格的，农业机械化主管部门应当在2个工作日内予以登记并核发相应的证书和牌照。拖拉机、联合收割机使用期间登记事项发生变更的，其所有人应当按照国务院农业机械化主管部门的规定申请变更登记。”</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《农业机械安全监督管理条例》、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表2-133</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拖拉机/联合收割机驾驶证核发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rPr>
              <w:t>《</w:t>
            </w:r>
            <w:r>
              <w:rPr>
                <w:rFonts w:hint="eastAsia" w:ascii="Times New Roman" w:hAnsi="Times New Roman"/>
                <w:szCs w:val="21"/>
              </w:rPr>
              <w:t>农业机械安全监督管理条例》（2009年9月7日国务院第80次常务会议通过，2009年9月17日中华人民共和国国务院令第563号公布，自2009年11月1日起施行 根据2016年2月6日中华人民共和国国务院令第666号公布的《国务院关于修改部分行政法规的决定》第一次修正 根据2019年3月2日中华人民共和国国务院令第709号公布的《国务院关于修改部分行政法规的决定》第二次修正）第二十二条：“拖拉机、联合收割机操作人员经过培训后，应当按照国务院农业机械化主管部门的规定，参加县级人民政府农业机械化主管部门组织的考试。考试合格的，农业机械化主管部门应当在2个工作日内核发相应的操作证件。拖拉机、联合收割机操作证件有效期为6年；有效期满，拖拉机、联合收割机操作人员可以向原发证机关申请续展。未满18周岁不得操作拖拉机、联合收割机。操作人员年满70周岁的，县级人民政府农业机械化主管部门应当注销其操作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 《农业机械安全监督管理条例》（2009年9月7日国务院第80次常务会议通过，2009年9月17日中华人民共和国国务院令第563号公布，自2009年11月1日起施行 根据2016年2月6日中华人民共和国国务院令第666号公布的《国务院关于修改部分行政法规的决定》第一次修正 根据2019年3月2日中华人民共和国国务院令第709号公布的《国务院关于修改部分行政法规的决定》第二次修正）第二十二条：“拖拉机、联合收割机操作人员经过培训后，应当按照国务院农业机械化主管部门的规定，参加县级人民政府农业机械化主管部门组织的考试。考试合格的，农业机械化主管部门应当在2个工作日内核发相应的操作证件。拖拉机、联合收割机操作证件有效期为6年；有效期满，拖拉机、联合收割机操作人员可以向原发证机关申请续展。未满18周岁不得操作拖拉机、联合收割机。操作人员年满70周岁的，县级人民政府农业机械化主管部门应当注销其操作证件。”</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《农业机械安全监督管理条例》、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表2-134</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拖拉机/联合收割机检验合格标志核发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szCs w:val="21"/>
              </w:rPr>
            </w:pPr>
            <w:r>
              <w:rPr>
                <w:rFonts w:hint="eastAsia" w:ascii="Times New Roman" w:hAnsi="Times New Roman"/>
              </w:rPr>
              <w:t>《</w:t>
            </w:r>
            <w:r>
              <w:rPr>
                <w:rFonts w:hint="eastAsia" w:ascii="Times New Roman" w:hAnsi="Times New Roman"/>
                <w:szCs w:val="21"/>
              </w:rPr>
              <w:t>农业机械安全监督管理条例》（2009年9月7日国务院第80次常务会议通过，2009年9月17日中华人民共和国国务院令第563号公布，自2009年11月1日起施行 根据2016年2月6日中华人民共和国国务院令第666号公布的《国务院关于修改部分行政法规的决定》第一次修正 根据2019年3月2日中华人民共和国国务院令第709号公布的《国务院关于修改部分行政法规的决定》第二次修正）第二十一条：“拖拉机、联合收割机投入使用前，其所有人应当按照国务院农业机械化主管部门的规定，持本人身份证明和机具来源证明，向所在地县级人民政府农业机械化主管部门申请登记。拖拉机、联合收割机经安全检验合格的，农业机械化主管部门应当在2个工作日内予以登记并核发相应的证书和牌照。拖拉机、联合收割机使用期间登记事项发生变更的，其所有人应当按照国务院农业机械化主管部门的规定申请变更登记。”</w:t>
            </w:r>
            <w:r>
              <w:rPr>
                <w:rFonts w:hint="eastAsia" w:ascii="Times New Roman" w:hAnsi="Times New Roman"/>
              </w:rPr>
              <w:t xml:space="preserve"> </w:t>
            </w:r>
            <w:r>
              <w:rPr>
                <w:rFonts w:hint="eastAsia" w:ascii="Times New Roman" w:hAnsi="Times New Roman"/>
                <w:szCs w:val="21"/>
              </w:rPr>
              <w:t>第三十条：“县级以上地方人民政府农业机械化主管部门应当定期对危及人身财产安全的农业机械进行免费实地安全检验。但是道路交通安全法律对拖拉机的安全检验另有规定的，从其规定。拖拉机、联合收割机的安全检验为每年1次。实施安全技术检验的机构应当对检验结果承担法律责任。”　第三十二条：“联合收割机跨行政区域作业前，当地县级人民政府农业机械化主管部门应当会同有关部门，对跨行政区域作业的联合收割机进行必要的安全检查，并对操作人员进行安全教育。”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 《农业机械安全监督管理条例》（2009年9月7日国务院第80次常务会议通过，2009年9月17日中华人民共和国国务院令第563号公布，自2009年11月1日起施行 根据2016年2月6日中华人民共和国国务院令第666号公布的《国务院关于修改部分行政法规的决定》第一次修正 根据2019年3月2日中华人民共和国国务院令第709号公布的《国务院关于修改部分行政法规的决定》第二次修正）第二十一条：“拖拉机、联合收割机投入使用前，其所有人应当按照国务院农业机械化主管部门的规定，持本人身份证明和机具来源证明，向所在地县级人民政府农业机械化主管部门申请登记。拖拉机、联合收割机经安全检验合格的，农业机械化主管部门应当在2个工作日内予以登记并核发相应的证书和牌照。拖拉机、联合收割机使用期间登记事项发生变更的，其所有人应当按照国务院农业机械化主管部门的规定申请变更登记。”</w:t>
            </w:r>
            <w:r>
              <w:rPr>
                <w:rFonts w:hint="eastAsia" w:ascii="Times New Roman" w:hAnsi="Times New Roman"/>
              </w:rPr>
              <w:t xml:space="preserve"> </w:t>
            </w:r>
            <w:r>
              <w:rPr>
                <w:rFonts w:hint="eastAsia" w:ascii="Times New Roman" w:hAnsi="Times New Roman"/>
                <w:szCs w:val="21"/>
              </w:rPr>
              <w:t>第三十条：“县级以上地方人民政府农业机械化主管部门应当定期对危及人身财产安全的农业机械进行免费实地安全检验。但是道路交通安全法律对拖拉机的安全检验另有规定的，从其规定。拖拉机、联合收割机的安全检验为每年1次。实施安全技术检验的机构应当对检验结果承担法律责任。”　第三十二条：“联合收割机跨行政区域作业前，当地县级人民政府农业机械化主管部门应当会同有关部门，对跨行政区域作业的联合收割机进行必要的安全检查，并对操作人员进行安全教育。”</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《农业机械安全监督管理条例》、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表2-135</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动物及动物产品检疫合格证核发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1.《中华人民共和国动物防疫法》（1997年7月3日第八届全国人民代表大会常务委员会第二十六次会议通过　2007年8月30日第十届全国人民代表大会常务委员会第二十九次会议第一次修订　根据2013年6月29日第十二届全国人民代表大会常务委员会第三次会议《关于修改〈中华人民共和国文物保护法〉等十二部法律的决定》第一次修正　根据2015年4月24日第十二届全国人民代表大会常务委员会第十四次会议《关于修改〈中华人民共和国电力法〉等六部法律的决定》第二次修正　2021年1月22日第十三届全国人民代表大会常务委员会第二十五次会议第二次修订）第四十八条：“动物卫生监督机构依照本法和国务院农业农村主管部门的规定对动物、动物产品实施检疫。动物卫生监督机构的官方兽医具体实施动物、动物产品检疫。”</w:t>
            </w:r>
          </w:p>
          <w:p>
            <w:pPr>
              <w:widowControl/>
              <w:shd w:val="clear" w:color="auto" w:fill="FFFFFF"/>
              <w:spacing w:line="360" w:lineRule="exact"/>
              <w:jc w:val="left"/>
              <w:rPr>
                <w:rFonts w:ascii="Times New Roman" w:hAnsi="Times New Roman"/>
              </w:rPr>
            </w:pPr>
            <w:r>
              <w:rPr>
                <w:rFonts w:hint="eastAsia" w:ascii="Times New Roman" w:hAnsi="Times New Roman"/>
              </w:rPr>
              <w:t>2.《动物检疫管理办法》(2002年5月24日农业部第11次常务会议审议通过) 　第三条：“本办法适用于在中华人民共和国境内的动物检疫活动。从事动物饲养、经营，动物产品生产、经营，以及从事与动物、动物产品检疫有关活动的单位和个人必须遵守本办法。”第四条：“各级人民政府畜牧兽医行政管理部门主管本行政区域内的动物检疫工作。各级人民政府所属的动物防疫监督机构负责对本行政区域内的动物、动物产品实施检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1-2.《中华人民共和国动物防疫法》（1997年7月3日第八届全国人民代表大会常务委员会第二十六次会议通过　2007年8月30日第十届全国人民代表大会常务委员会第二十九次会议第一次修订　根据2013年6月29日第十二届全国人民代表大会常务委员会第三次会议《关于修改〈中华人民共和国文物保护法〉等十二部法律的决定》第一次修正　根据2015年4月24日第十二届全国人民代表大会常务委员会第十四次会议《关于修改〈中华人民共和国电力法〉等六部法律的决定》第二次修正　2021年1月22日第十三届全国人民代表大会常务委员会第二十五次会议第二次修订）第四十八条：“动物卫生监督机构依照本法和国务院农业农村主管部门的规定对动物、动物产品实施检疫。动物卫生监督机构的官方兽医具体实施动物、动物产品检疫。”</w:t>
            </w:r>
          </w:p>
          <w:p>
            <w:pPr>
              <w:spacing w:line="360" w:lineRule="exact"/>
              <w:ind w:firstLine="420" w:firstLineChars="200"/>
              <w:jc w:val="left"/>
              <w:rPr>
                <w:rFonts w:ascii="Times New Roman" w:hAnsi="Times New Roman"/>
                <w:szCs w:val="21"/>
              </w:rPr>
            </w:pPr>
            <w:r>
              <w:rPr>
                <w:rFonts w:hint="eastAsia" w:ascii="Times New Roman" w:hAnsi="Times New Roman"/>
                <w:szCs w:val="21"/>
              </w:rPr>
              <w:t>1-3.《动物检疫管理办法》(2002年5月24日农业部第11次常务会议审议通过) 　第三条：“本办法适用于在中华人民共和国境内的动物检疫活动。从事动物饲养、经营，动物产品生产、经营，以及从事与动物、动物产品检疫有关活动的单位和个人必须遵守本办法。”第四条：“各级人民政府畜牧兽医行政管理部门主管本行政区域内的动物检疫工作。各级人民政府所属的动物防疫监督机构负责对本行政区域内的动物、动物产品实施检疫。”</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《中华人民共和国动物防疫法》、《动物检疫管理办法》、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表2-136</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动物防疫条件合格证核发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1.《中华人民共和国动物防疫法》（1997年7月3日第八届全国人民代表大会常务委员会第二十六次会议通过　2007年8月30日第十届全国人民代表大会常务委员会第二十九次会议第一次修订　根据2013年6月29日第十二届全国人民代表大会常务委员会第三次会议《关于修改〈中华人民共和国文物保护法〉等十二部法律的决定》第一次修正　根据2015年4月24日第十二届全国人民代表大会常务委员会第十四次会议《关于修改〈中华人民共和国电力法〉等六部法律的决定》第二次修正　2021年1月22日第十三届全国人民代表大会常务委员会第二十五次会议第二次修订）第九条：“国务院农业农村主管部门主管全国的动物防疫工作。县级以上地方人民政府农业农村主管部门主管本行政区域的动物防疫工作。县级以上人民政府其他有关部门在各自职责范围内做好动物防疫工作。军队动物卫生监督职能部门负责军队现役动物和饲养自用动物的防疫工作。” 第二十五条：“国家实行动物防疫条件审查制度。开办动物饲养场和隔离场所、动物屠宰加工场所以及动物和动物产品无害化处理场所，应当向县级以上地方人民政府农业农村主管部门提出申请，并附具相关材料。受理申请的农业农村主管部门应当依照本法和《中华人民共和国行政许可法》的规定进行审查。经审查合格的，发给动物防疫条件合格证；不合格的，应当通知申请人并说明理由。动物防疫条件合格证应当载明申请人的名称（姓名）、场（厂）址、动物（动物产品）种类等事项。”</w:t>
            </w:r>
          </w:p>
          <w:p>
            <w:pPr>
              <w:widowControl/>
              <w:shd w:val="clear" w:color="auto" w:fill="FFFFFF"/>
              <w:spacing w:line="360" w:lineRule="exact"/>
              <w:jc w:val="left"/>
              <w:rPr>
                <w:rFonts w:ascii="Times New Roman" w:hAnsi="Times New Roman"/>
              </w:rPr>
            </w:pPr>
            <w:r>
              <w:rPr>
                <w:rFonts w:hint="eastAsia" w:ascii="Times New Roman" w:hAnsi="Times New Roman"/>
              </w:rPr>
              <w:t>2.《动物防疫条件审查办法》（2010年1月4日农业部第一次常务会议审议通过，现予发布，自2010年5月1日起施行）第二十七条：“本办法第二条第一款规定场所建设竣工后，应当向所在地县级地方人民政府兽医主管部门提出申请，并提交以下材料：（一）《动物防疫条件审查申请表》；（二）场所地理位置图、各功能区布局平面图；（三）设施设备清单；（四）管理制度文本；（五）人员情况。申请材料不齐全或者不符合规定条件的，县级地方人民政府兽医主管部门应当自收到申请材料之日起5个工作日内，一次告知申请人需补正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420" w:firstLineChars="200"/>
              <w:jc w:val="left"/>
              <w:rPr>
                <w:rFonts w:ascii="Times New Roman" w:hAnsi="Times New Roman"/>
              </w:rPr>
            </w:pPr>
            <w:r>
              <w:rPr>
                <w:rFonts w:hint="eastAsia" w:ascii="Times New Roman" w:hAnsi="Times New Roman"/>
              </w:rPr>
              <w:t>1-2.《中华人民共和国动物防疫法》（1997年7月3日第八届全国人民代表大会常务委员会第二十六次会议通过　2007年8月30日第十届全国人民代表大会常务委员会第二十九次会议第一次修订　根据2013年6月29日第十二届全国人民代表大会常务委员会第三次会议《关于修改〈中华人民共和国文物保护法〉等十二部法律的决定》第一次修正　根据2015年4月24日第十二届全国人民代表大会常务委员会第十四次会议《关于修改〈中华人民共和国电力法〉等六部法律的决定》第二次修正　2021年1月22日第十三届全国人民代表大会常务委员会第二十五次会议第二次修订）第九条：“国务院农业农村主管部门主管全国的动物防疫工作。县级以上地方人民政府农业农村主管部门主管本行政区域的动物防疫工作。县级以上人民政府其他有关部门在各自职责范围内做好动物防疫工作。军队动物卫生监督职能部门负责军队现役动物和饲养自用动物的防疫工作。” 第二十五条：“国家实行动物防疫条件审查制度。开办动物饲养场和隔离场所、动物屠宰加工场所以及动物和动物产品无害化处理场所，应当向县级以上地方人民政府农业农村主管部门提出申请，并附具相关材料。受理申请的农业农村主管部门应当依照本法和《中华人民共和国行政许可法》的规定进行审查。经审查合格的，发给动物防疫条件合格证；不合格的，应当通知申请人并说明理由。动物防疫条件合格证应当载明申请人的名称（姓名）、场（厂）址、动物（动物产品）种类等事项。”</w:t>
            </w:r>
          </w:p>
          <w:p>
            <w:pPr>
              <w:spacing w:line="360" w:lineRule="exact"/>
              <w:ind w:firstLine="420" w:firstLineChars="200"/>
              <w:jc w:val="left"/>
              <w:rPr>
                <w:rFonts w:ascii="Times New Roman" w:hAnsi="Times New Roman"/>
              </w:rPr>
            </w:pPr>
            <w:r>
              <w:rPr>
                <w:rFonts w:hint="eastAsia" w:ascii="Times New Roman" w:hAnsi="Times New Roman"/>
              </w:rPr>
              <w:t>1-3.《动物防疫条件审查办法》（2010年1月4日农业部第一次常务会议审议通过，现予发布，自2010年5月1日起施行）第二十七条：“本办法第二条第一款规定场所建设竣工后，应当向所在地县级地方人民政府兽医主管部门提出申请，并提交以下材料：（一）《动物防疫条件审查申请表》；（二）场所地理位置图、各功能区布局平面图；（三）设施设备清单；（四）管理制度文本；（五）人员情况。申请材料不齐全或者不符合规定条件的，县级地方人民政府兽医主管部门应当自收到申请材料之日起5个工作日内，一次告知申请人需补正的内容。”</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《中华人民共和国动物防疫法》、《动物防疫条件审查办法》、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表2-137</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引进种用畜禽及其胚胎、种蛋、精液检疫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1.《中华人民共和国动物防疫法》（1997年7月3日第八届全国人民代表大会常务委员会第二十六次会议通过　2007年8月30日第十届全国人民代表大会常务委员会第二十九次会议第一次修订　根据2013年6月29日第十二届全国人民代表大会常务委员会第三次会议《关于修改〈中华人民共和国文物保护法〉等十二部法律的决定》第一次修正　根据2015年4月24日第十二届全国人民代表大会常务委员会第十四次会议《关于修改〈中华人民共和国电力法〉等六部法律的决定》第二次修正　2021年1月22日第十三届全国人民代表大会常务委员会第二十五次会议第二次修订）第四十八条：“动物卫生监督机构依照本法和国务院农业农村主管部门的规定对动物、动物产品实施检疫。动物卫生监督机构的官方兽医具体实施动物、动物产品检疫。”</w:t>
            </w:r>
          </w:p>
          <w:p>
            <w:pPr>
              <w:widowControl/>
              <w:shd w:val="clear" w:color="auto" w:fill="FFFFFF"/>
              <w:spacing w:line="360" w:lineRule="exact"/>
              <w:jc w:val="left"/>
              <w:rPr>
                <w:rFonts w:ascii="Times New Roman" w:hAnsi="Times New Roman"/>
              </w:rPr>
            </w:pPr>
            <w:r>
              <w:rPr>
                <w:rFonts w:hint="eastAsia" w:ascii="Times New Roman" w:hAnsi="Times New Roman"/>
              </w:rPr>
              <w:t>2.《动物检疫管理办法》(2002年5月24日农业部第11次常务会议审议通过) 　第三条：“本办法适用于在中华人民共和国境内的动物检疫活动。从事动物饲养、经营，动物产品生产、经营，以及从事与动物、动物产品检疫有关活动的单位和个人必须遵守本办法。”第四条：“各级人民政府畜牧兽医行政管理部门主管本行政区域内的动物检疫工作。各级人民政府所属的动物防疫监督机构负责对本行政区域内的动物、动物产品实施检疫。”第十六条：“跨省引进种用动物及其精液、胚胎、种蛋的，经输出地动物防疫监督机构按照本办法第十二条和第十三条第二项规定检疫合格后方可启运；到达输入地后，向输入地动物防疫监督机构报验。”</w:t>
            </w:r>
          </w:p>
          <w:p>
            <w:pPr>
              <w:widowControl/>
              <w:shd w:val="clear" w:color="auto" w:fill="FFFFFF"/>
              <w:spacing w:line="360" w:lineRule="exact"/>
              <w:jc w:val="left"/>
              <w:rPr>
                <w:rFonts w:ascii="Times New Roman" w:hAnsi="Times New Roman"/>
              </w:rPr>
            </w:pPr>
            <w:r>
              <w:rPr>
                <w:rFonts w:hint="eastAsia" w:ascii="Times New Roman" w:hAnsi="Times New Roman"/>
              </w:rPr>
              <w:t>3.《四川省动物和动物产品申报检疫办法》第八条：“引进种用动物（含奶牛）及其精液、胚胎、种蛋的，在引进之前，须向输入地县级以上动物防疫监督机构申报检疫，并经依法批准后方可引入。”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1-2.《中华人民共和国动物防疫法》（1997年7月3日第八届全国人民代表大会常务委员会第二十六次会议通过　2007年8月30日第十届全国人民代表大会常务委员会第二十九次会议第一次修订　根据2013年6月29日第十二届全国人民代表大会常务委员会第三次会议《关于修改〈中华人民共和国文物保护法〉等十二部法律的决定》第一次修正　根据2015年4月24日第十二届全国人民代表大会常务委员会第十四次会议《关于修改〈中华人民共和国电力法〉等六部法律的决定》第二次修正　2021年1月22日第十三届全国人民代表大会常务委员会第二十五次会议第二次修订）第四十八条：“动物卫生监督机构依照本法和国务院农业农村主管部门的规定对动物、动物产品实施检疫。动物卫生监督机构的官方兽医具体实施动物、动物产品检疫。”</w:t>
            </w:r>
          </w:p>
          <w:p>
            <w:pPr>
              <w:spacing w:line="360" w:lineRule="exact"/>
              <w:ind w:firstLine="420" w:firstLineChars="200"/>
              <w:jc w:val="left"/>
              <w:rPr>
                <w:rFonts w:ascii="Times New Roman" w:hAnsi="Times New Roman"/>
                <w:szCs w:val="21"/>
              </w:rPr>
            </w:pPr>
            <w:r>
              <w:rPr>
                <w:rFonts w:hint="eastAsia" w:ascii="Times New Roman" w:hAnsi="Times New Roman"/>
                <w:szCs w:val="21"/>
              </w:rPr>
              <w:t>1-3.《动物检疫管理办法》(2002年5月24日农业部第11次常务会议审议通过) 　第三条：“本办法适用于在中华人民共和国境内的动物检疫活动。从事动物饲养、经营，动物产品生产、经营，以及从事与动物、动物产品检疫有关活动的单位和个人必须遵守本办法。”第四条：“各级人民政府畜牧兽医行政管理部门主管本行政区域内的动物检疫工作。各级人民政府所属的动物防疫监督机构负责对本行政区域内的动物、动物产品实施检疫。”</w:t>
            </w:r>
            <w:r>
              <w:rPr>
                <w:rFonts w:hint="eastAsia" w:ascii="Times New Roman" w:hAnsi="Times New Roman"/>
              </w:rPr>
              <w:t xml:space="preserve"> </w:t>
            </w:r>
            <w:r>
              <w:rPr>
                <w:rFonts w:hint="eastAsia" w:ascii="Times New Roman" w:hAnsi="Times New Roman"/>
                <w:szCs w:val="21"/>
              </w:rPr>
              <w:t>第十六条：“跨省引进种用动物及其精液、胚胎、种蛋的，经输出地动物防疫监督机构按照本办法第十二条和第十三条第二项规定检疫合格后方可启运；到达输入地后，向输入地动物防疫监督机构报验。”</w:t>
            </w:r>
          </w:p>
          <w:p>
            <w:pPr>
              <w:spacing w:line="360" w:lineRule="exact"/>
              <w:ind w:firstLine="420" w:firstLineChars="200"/>
              <w:jc w:val="left"/>
              <w:rPr>
                <w:rFonts w:ascii="Times New Roman" w:hAnsi="Times New Roman"/>
                <w:szCs w:val="21"/>
              </w:rPr>
            </w:pPr>
            <w:r>
              <w:rPr>
                <w:rFonts w:hint="eastAsia" w:ascii="Times New Roman" w:hAnsi="Times New Roman"/>
                <w:szCs w:val="21"/>
              </w:rPr>
              <w:t>1-4.《四川省动物和动物产品申报检疫办法》第八条：“引进种用动物（含奶牛）及其精液、胚胎、种蛋的，在引进之前，须向输入地县级以上动物防疫监督机构申报检疫，并经依法批准后方可引入。”</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《中华人民共和国动物防疫法》、《动物检疫管理办法》、《四川省动物和动物产品申报检疫办法》、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表2-138</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农药经营许可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《农药经营许可管理办法</w:t>
            </w:r>
            <w:bookmarkStart w:id="2" w:name="2"/>
            <w:bookmarkEnd w:id="2"/>
            <w:r>
              <w:rPr>
                <w:rFonts w:hint="eastAsia" w:ascii="Times New Roman" w:hAnsi="Times New Roman"/>
              </w:rPr>
              <w:t>》（农业部2017年第6次常务会议审议通过，自2017年8月1日起施行）第三条：“在中华人民共和国境内销售农药的，应当取得农药经营许可证。” 第四条：“农业部负责监督指导全国农药经营许可管理工作。限制使用农药经营许可由省级人民政府农业主管部门（以下简称省级农业部门）核发；其他农药经营许可由县级以上地方人民政府农业主管部门（以下简称县级以上地方农业部门）根据农药经营者的申请分别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农药经营许可管理办法》（农业部2017年第6次常务会议审议通过，自2017年8月1日起施行）第四条：“农业部负责监督指导全国农药经营许可管理工作。限制使用农药经营许可由省级人民政府农业主管部门（以下简称省级农业部门）核发；其他农药经营许可由县级以上地方人民政府农业主管部门（以下简称县级以上地方农业部门）根据农药经营者的申请分别核发。”</w:t>
            </w:r>
            <w:r>
              <w:rPr>
                <w:rFonts w:hint="eastAsia" w:ascii="Times New Roman" w:hAnsi="Times New Roman"/>
              </w:rPr>
              <w:t xml:space="preserve"> </w:t>
            </w:r>
            <w:r>
              <w:rPr>
                <w:rFonts w:hint="eastAsia" w:ascii="Times New Roman" w:hAnsi="Times New Roman"/>
                <w:szCs w:val="21"/>
              </w:rPr>
              <w:t>第八条：“申请农药经营许可证的，应当向县级以上地方农业部门提交以下材料：（一）农药经营许可证申请表；（二）法定代表人（负责人）身份证明复印件；（三）经营人员的学历或者培训证明；（四）营业场所和仓储场所地址、面积、平面图等说明材料及照片；（五）计算机管理系统、可追溯电子信息码扫描设备、安全防护、仓储设施等清单及照片；（六）有关管理制度目录及文本；（七）申请材料真实性、合法性声明；（八）农业部规定的其他材料。申请材料应当同时提交纸质文件和电子文档。”第九条：“县级以上地方农业部门对申请人提交的申请材料，应当根据下列情况分别作出处理：（一）不需要农药经营许可的，即时告知申请者不予受理；（二）申请材料存在错误的，允许申请者当场更正；（三）申请材料不齐全或者不符合法定形式的，应当当场或者在五个工作日内一次告知申请者需要补正的全部内容，逾期不告知的，自收到申请材料之日起即为受理；（四）申请材料齐全、符合法定形式，或者申请者按照要求提交全部补正材料的，予以受理。”</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2-2.</w:t>
            </w:r>
            <w:r>
              <w:rPr>
                <w:rFonts w:hint="eastAsia" w:ascii="Times New Roman" w:hAnsi="Times New Roman"/>
              </w:rPr>
              <w:t>《农药经营许可管理办法》（农业部2017年第6次常务会议审议通过，自2017年8月1日起施行）</w:t>
            </w:r>
            <w:r>
              <w:rPr>
                <w:rFonts w:hint="eastAsia" w:ascii="Times New Roman" w:hAnsi="Times New Roman"/>
                <w:szCs w:val="21"/>
              </w:rPr>
              <w:t>第十条：“县级以上地方农业部门应当对农药经营许可申请材料进行审查，必要时进行实地核查或者委托下级农业主管部门进行实地核查。”第十一条：“县级以上地方农业部门应当自受理之日起二十个工作日内作出审批决定。符合条件的，核发农药经营许可证；不符合条件的，书面通知申请人并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《农药经营许可管理办法》、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表2-139</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种畜禽生产经营许可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中华人民共和国畜牧法》（2005年12月29日第十届全国人民代表大会常务委员会第十九次会议通过，根据2015年4月24日第十二届全国人民代表大会常务委员会第十四次会议《关于修改〈中华人民共和国计量法〉等五部法律的决定》修正）第二十二条：“从事种畜禽生产经营或者生产商品代仔畜、雏禽的单位、个人，应当取得种畜禽生产经营许可证。申请取得种畜禽生产经营许可证，应当具备下列条件：（一）生产经营的种畜禽必须是通过国家畜禽遗传资源委员会审定或者鉴定的品种、配套系，或者是经批准引进的境外品种、配套系；（二）有与生产经营规模相适应的畜牧兽医技术人员；（三）有与生产经营规模相适应的繁育设施设备；（四）具备法律、行政法规和国务院畜牧兽医行政主管部门规定的种畜禽防疫条件；（五）有完善的质量管理和育种记录制度；（六）具备法律、行政法规规定的其他条件。”第二十四条：“申请取得生产家畜卵子、冷冻精液、胚胎等遗传材料的生产经营许可证，应当向省级人民政府畜牧兽医行政主管部门提出申请。受理申请的畜牧兽医行政主管部门应当自收到申请之日起六十个工作日内依法决定是否发给生产经营许可证。其他种畜禽的生产经营许可证由县级以上地方人民政府畜牧兽医行政主管部门审核发放，具体审核发放办法由省级人民政府规定。种畜禽生产经营许可证样式由国务院畜牧兽医行政主管部门制定，许可证有效期为三年。发放种畜禽生产经营许可证可以收取工本费，具体收费管理办法由国务院财政、价格部门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中华人民共和国畜牧法》（2005年12月29日第十届全国人民代表大会常务委员会第十九次会议通过，根据2015年4月24日第十二届全国人民代表大会常务委员会第十四次会议《关于修改〈中华人民共和国计量法〉等五部法律的决定》修正）第二十二条：“从事种畜禽生产经营或者生产商品代仔畜、雏禽的单位、个人，应当取得种畜禽生产经营许可证。申请取得种畜禽生产经营许可证，应当具备下列条件：（一）生产经营的种畜禽必须是通过国家畜禽遗传资源委员会审定或者鉴定的品种、配套系，或者是经批准引进的境外品种、配套系；（二）有与生产经营规模相适应的畜牧兽医技术人员；（三）有与生产经营规模相适应的繁育设施设备；（四）具备法律、行政法规和国务院畜牧兽医行政主管部门规定的种畜禽防疫条件；（五）有完善的质量管理和育种记录制度；（六）具备法律、行政法规规定的其他条件。”第二十四条：“申请取得生产家畜卵子、冷冻精液、胚胎等遗传材料的生产经营许可证，应当向省级人民政府畜牧兽医行政主管部门提出申请。受理申请的畜牧兽医行政主管部门应当自收到申请之日起六十个工作日内依法决定是否发给生产经营许可证。其他种畜禽的生产经营许可证由县级以上地方人民政府畜牧兽医行政主管部门审核发放，具体审核发放办法由省级人民政府规定。种畜禽生产经营许可证样式由国务院畜牧兽医行政主管部门制定，许可证有效期为三年。发放种畜禽生产经营许可证可以收取工本费，具体收费管理办法由国务院财政、价格部门制定。”</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《中华人民共和国畜牧法》、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Cs w:val="21"/>
        </w:rPr>
      </w:pPr>
      <w:r>
        <w:rPr>
          <w:rFonts w:hint="eastAsia" w:ascii="Times New Roman" w:hAnsi="Times New Roman"/>
        </w:rPr>
        <w:t>表2-140</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蚕种生产、经营许可证核发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四川省蚕种管理条例》（1995年12月20日四川省第八届人民代表大会常务委员会第十八次会议通过，根据2004年9月24日四川省第十届人民代表大会常务委员会第十一次会议《关于修改〈四川省蚕种管理条例〉的决定》第一次修正，根据2012年7月27日四川省第十一届人民代表大会常务委员会第三十一次会议《关于修改部分地方性法规的决定》第二次修正，根据2018年9月30日四川省第十三届人民代表大会常务委员会第六次会议《关于修改〈四川省蚕种管理条例〉的决定》第三次修正）第十七条：“蚕种生产和冷藏实行生产许可制度。生产许可证由省农业行政主管部门根据全省蚕种的需求总量和本条例第十六条、第十八条的规定核发。科研、教学单位从事以经营、销售为目的的蚕种生产应当申领生产许可证，但从事以科研、教学为目的的蚕种生产除外。”第二十二条：“原蚕种的经营，由省蚕种机构根据全省普通蚕种的需求总量有计划地调拨到省属蚕种场和市（州）蚕种机构，由市（州）蚕种机构按计划调拨到蚕种生产单位。普通蚕种的经营实行合同定购，由蚕种生产单位与蚕种经营单位签订销售合同，纳入各级蚕种机构的产销计划管理。” 第二十三条：“县级蚕种经营单位向农民销售普通蚕种实行许可制度，许可证由省农业行政主管部门统一核发。”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中华人民共和国畜牧法》（2005年12月29日第十届全国人民代表大会常务委员会第十九次会议通过，根据2015年4月24日第十二届全国人民代表大会常务委员会第十四次会议《关于修改〈中华人民共和国计量法〉等五部法律的决定》修正）第二十二条：“从事种畜禽生产经营或者生产商品代仔畜、雏禽的单位、个人，应当取得种畜禽生产经营许可证。申请取得种畜禽生产经营许可证，应当具备下列条件：（一）生产经营的种畜禽必须是通过国家畜禽遗传资源委员会审定或者鉴定的品种、配套系，或者是经批准引进的境外品种、配套系；（二）有与生产经营规模相适应的畜牧兽医技术人员；（三）有与生产经营规模相适应的繁育设施设备；（四）具备法律、行政法规和国务院畜牧兽医行政主管部门规定的种畜禽防疫条件；（五）有完善的质量管理和育种记录制度；（六）具备法律、行政法规规定的其他条件。”第二十四条：“申请取得生产家畜卵子、冷冻精液、胚胎等遗传材料的生产经营许可证，应当向省级人民政府畜牧兽医行政主管部门提出申请。受理申请的畜牧兽医行政主管部门应当自收到申请之日起六十个工作日内依法决定是否发给生产经营许可证。其他种畜禽的生产经营许可证由县级以上地方人民政府畜牧兽医行政主管部门审核发放，具体审核发放办法由省级人民政府规定。种畜禽生产经营许可证样式由国务院畜牧兽医行政主管部门制定，许可证有效期为三年。发放种畜禽生产经营许可证可以收取工本费，具体收费管理办法由国务院财政、价格部门制定。”</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《四川省蚕种管理条例》、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表2-141</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食用菌菌种生产经营许可证核发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食用菌菌种管理办法》（2006年3月27日农业部令第62号公布，2013年12月31日农业部令2013年第5号、2014年4月25日农业部令2014年第3号修订）第十三条：“从事菌种生产经营的单位和个人，应当取得《食用菌菌种生产经营许可证》。仅从事栽培种经营的单位和个人，可以不办理《食用菌菌种生产经营许可证》，但经营者要具备菌种的相关知识，具有相应的菌种贮藏设备和场所，并报县级人民政府农业行政主管部门备案。”第十四条：“母种和原种《食用菌菌种生产经营许可证》，由所在地县级人民政府农业行政主管部门审核，省级人民政府农业行政主管部门核发，报农业部备案。栽培种《食用菌菌种生产经营许可证》由所在地县级人民政府农业行政主管部门核发，报省级人民政府农业行政主管部门备案。” 第十七条：“申请《食用菌菌种生产经营许可证》，应当向县级人民政府农业行政主管部门提交下列材料：（一）食用菌菌种生产经营许可证申请表；（二）注册资本证明材料；（三）菌种检验人员、生产技术人员资格证明；（四）仪器设备和设施清单及产权证明，主要仪器设备的照片；（五）菌种生产经营场所照片及产权证明；（六）品种特性介绍；（七）菌种生产经营质量保证制度。申请母种生产经营许可证的品种为授权品种的，还应当提供品种权人（品种选育人）授权的书面证明。”第十八条：“县级人民政府农业行政主管部门受理母种和原种的生产经营许可申请后，可以组织专家进行实地考查，但应当自受理申请之日起20日内签署审核意见，并报省级人民政府农业行政主管部门审批。省级人民政府农业行政主管部门应当自收到审核意见之日起20日内完成审批。符合条件的，发给生产经营许可证；不符合条件的，书面通知申请人并说明理由。县级人民政府农业行政主管部门受理栽培种生产经营许可申请后，可以组织专家进行实地考查，但应当自受理申请之日起20日内完成审批。符合条件的，发给生产经营许可证；不符合条件的，书面通知申请人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hint="eastAsia" w:ascii="Times New Roman" w:hAnsi="Times New Roman"/>
              </w:rPr>
              <w:t xml:space="preserve"> </w:t>
            </w:r>
            <w:r>
              <w:rPr>
                <w:rFonts w:hint="eastAsia" w:ascii="Times New Roman" w:hAnsi="Times New Roman"/>
                <w:szCs w:val="21"/>
              </w:rPr>
              <w:t>《食用菌菌种管理办法》（2006年3月27日农业部令第62号公布，2013年12月31日农业部令2013年第5号、2014年4月25日农业部令2014年第3号修订）第十七条：“申请《食用菌菌种生产经营许可证》，应当向县级人民政府农业行政主管部门提交下列材料：（一）食用菌菌种生产经营许可证申请表；（二）注册资本证明材料；（三）菌种检验人员、生产技术人员资格证明；（四）仪器设备和设施清单及产权证明，主要仪器设备的照片；（五）菌种生产经营场所照片及产权证明；（六）品种特性介绍；（七）菌种生产经营质量保证制度。申请母种生产经营许可证的品种为授权品种的，还应当提供品种权人（品种选育人）授权的书面证明。</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2-2.《食用菌菌种管理办法》（2006年3月27日农业部令第62号公布，2013年12月31日农业部令2013年第5号、2014年4月25日农业部令2014年第3号修订）第十八条：“县级人民政府农业行政主管部门受理母种和原种的生产经营许可申请后，可以组织专家进行实地考查，但应当自受理申请之日起20日内签署审核意见，并报省级人民政府农业行政主管部门审批。省级人民政府农业行政主管部门应当自收到审核意见之日起20日内完成审批。符合条件的，发给生产经营许可证；不符合条件的，书面通知申请人并说明理由。县级人民政府农业行政主管部门受理栽培种生产经营许可申请后，可以组织专家进行实地考查，但应当自受理申请之日起20日内完成审批。符合条件的，发给生产经营许可证；不符合条件的，书面通知申请人并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《食用菌菌种管理办法》、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表2-142</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农作物种子生产经营许可证核发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种子法》（2000年7月8日第九届全国人民代表大会常务委员会第十六次会议通过根据2004年8月28日第十届全国人民代表大会常务委员会第十一次会议《关于修改〈中华人民共和国种子法〉的决定》第一次修正根据2013年6月29日第十二届全国人民代表大会常务委员会第三次会议《关于修改〈中华人民共和国文物保护法〉等十二部法律的决定》第二次修正　2015年11月4日第十二届全国人民代表大会常务委员会第十七次会议修订）第二条：“在中华人民共和国境内从事品种选育、种子生产经营和管理等活动，适用本法。本法所称种子，是指农作物和林木的种植材料或者繁殖材料，包括籽粒、果实、根、茎、苗、芽、叶、花等。”第三十一条：“从事种子进出口业务的种子生产经营许可证，由省、自治区、直辖市人民政府农业、林业主管部门审核，国务院农业、林业主管部门核发。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前两款规定以外的其他种子的生产经营许可证，由生产经营者所在地县级以上地方人民政府农业、林业主管部门核发。只从事非主要农作物种子和非主要林木种子生产的，不需要办理种子生产经营许可证。”</w:t>
            </w:r>
          </w:p>
          <w:p>
            <w:pPr>
              <w:widowControl/>
              <w:shd w:val="clear" w:color="auto" w:fill="FFFFFF"/>
              <w:spacing w:line="360" w:lineRule="exact"/>
              <w:jc w:val="left"/>
              <w:rPr>
                <w:rFonts w:ascii="Times New Roman" w:hAnsi="Times New Roman"/>
              </w:rPr>
            </w:pPr>
            <w:r>
              <w:rPr>
                <w:rFonts w:hint="eastAsia" w:ascii="Times New Roman" w:hAnsi="Times New Roman"/>
              </w:rPr>
              <w:t>2.《农作物种子生产经营许可管理办法》（2011年农业部第4次常务会议审议通过，自2011年9月25日起施行）第二条：“农作物种子生产、经营许可证的申请、审核、核发和监管，适用本办法。”第三条：“县级以上人民政府农业行政主管部门按照职责分工，负责农作物种子生产、经营许可证的受理、审核、核发和监管工作。”第六条：“生产主要农作物商品种子的，应当依法取得主要农作物种子生产许可证（以下简称种子生产许可证）。主要农作物杂交种子及其亲本种子、常规种原种种子的生产许可证由生产所在地县级人民政府农业行政主管部门审核，省级人民政府农业行政主管部门核发。其他主要农作物的种子生产许可证由生产所在地县级以上地方人民政府农业行政主管部门核发。生产所在地为非主要农作物，在其他省（自治区、直辖市）为主要农作物，生产者申请办理种子生产许可证的，生产所在地农业行政主管部门应当受理并依法核发。” 第八条：“申请种子生产许可证，应当提交以下材料：（一）种子生产许可证申请表；（二）验资报告或者申请之日前1年内的年度会计报表及中介机构审计报告等注册资本证明材料复印件；种子检验等设备清单和购置发票复印件；在生产地所在省（自治区、直辖市）的种子检验室、仓库的产权证明复印件；在生产地所在省（自治区、直辖市）的晒场的产权证明（或租赁协议）复印件，或者种子干燥设施设备的产权证明复印件；计量检定机构出具的涉及计量的检验设备检定证书复印件；相关设施设备的情况说明及实景照片；（三）种子生产、贮藏、检验技术人员资质证明和劳动合同复印件；（四）种子生产地点检疫证明；（五）品种审定证书复印件；（六）生产具有植物新品种权的种子，提交品种权人的书面同意证明；（七）种子生产安全隔离和生产条件说明；（八）农业部规定的其他材料。种子生产许可证申请者已取得相应作物的种子经营许可证的，免于提交前款第二项规定的材料和种子贮藏、检验技术人员资质证明及劳动合同复印件，但应当提交种子经营许可证复印件。”第九条：“审核机关应当自受理申请之日起20个工作日内完成审核工作。审核时应当对生产地点、晒场或者干燥设施设备、贮藏设施、检验设施设备等进行实地考察并查验有关证明材料原件（对具有相应作物种子经营许可证的只考察生产地点）。具备本办法规定条件的，签署审核意见，上报核发机关；审核不予通过的，书面通知申请人并说明理由。核发机关应当自收到审核意见和申请材料之日起20个工作日内完成核发工作。核发机关认为有必要的，可以进行实地考察。符合条件的，发给种子生产许可证并予公告；不符合条件的，书面通知申请人并说明理由。” 第十二条：“经营农作物种子的，应当依法取得农作物种子经营许可证（以下简称种子经营许可证）。主要农作物杂交种子及其亲本种子、常规种原种种子经营许可证，由种子经营者所在地县级人民政府农业行政主管部门审核，省级人民政府农业行政主管部门核发。下列种子经营许可证，由种子经营者所在地省级人民政府农业行政主管部门审核，农业部核发：（一）从事种子进出口业务的公司的种子经营许可证；（二）实行选育、生产、经营相结合，注册资本达到1亿元以上的公司的种子经营许可证。其他农作物种子经营许可证，由种子经营者所在地县级以上地方人民政府农业行政主管部门核发。” 第十七条：“申请种子经营许可证，应当提交以下材料：（一）农作物种子经营许可证申请表；（二）验资报告或者申请之日前1年内的年度会计报表及中介机构审计报告等注册资本和固定资产证明材料复印件；申请单位性质、资本构成等基本情况证明材料；（三）种子检验、加工等设施设备清单和购置发票复印件；种子检验室、加工厂房、仓库的产权证明复印件；晒场的产权证明（或租赁协议）复印件，或者种子干燥设施设备的产权证明复印件；计量检定机构出具的涉及计量的检验、包装设备检定证书复印件；相关设施设备的情况说明及实景照片；（四）种子检验、加工、贮藏等有关技术人员的资质证明和劳动合同复印件；（五）农业部规定的其他材料。” 第十九条：“审核机关应当自受理申请之日起20个工作日内完成审核工作。审核机关应当对营业场所、加工仓储设施、检验设施设备进行实地考察并查验有关证明材料原件。具备本办法规定条件的，签署审核意见，上报核发机关；审核不予通过的，书面通知申请人并说明理由。核发机关应当自收到申请材料和审核意见之日起20个工作日内完成核发工作。核发机关认为有必要的，可以进行实地考察。符合条件的，发给种子经营许可证并予公告；不符合条件的，书面通知申请人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rPr>
            </w:pPr>
            <w:r>
              <w:rPr>
                <w:rFonts w:hint="eastAsia" w:ascii="Times New Roman" w:hAnsi="Times New Roman"/>
                <w:szCs w:val="21"/>
              </w:rPr>
              <w:t>1-2.</w:t>
            </w:r>
            <w:r>
              <w:rPr>
                <w:rFonts w:hint="eastAsia" w:ascii="Times New Roman" w:hAnsi="Times New Roman"/>
              </w:rPr>
              <w:t xml:space="preserve"> 《农作物种子生产经营许可管理办法》（2011年农业部第4次常务会议审议通过，自2011年9月25日起施行）第二条：“农作物种子生产、经营许可证的申请、审核、核发和监管，适用本办法。”第三条：“县级以上人民政府农业行政主管部门按照职责分工，负责农作物种子生产、经营许可证的受理、审核、核发和监管工作。”第六条：“生产主要农作物商品种子的，应当依法取得主要农作物种子生产许可证（以下简称种子生产许可证）。主要农作物杂交种子及其亲本种子、常规种原种种子的生产许可证由生产所在地县级人民政府农业行政主管部门审核，省级人民政府农业行政主管部门核发。其他主要农作物的种子生产许可证由生产所在地县级以上地方人民政府农业行政主管部门核发。生产所在地为非主要农作物，在其他省（自治区、直辖市）为主要农作物，生产者申请办理种子生产许可证的，生产所在地农业行政主管部门应当受理并依法核发。” 第八条：“申请种子生产许可证，应当提交以下材料：（一）种子生产许可证申请表；（二）验资报告或者申请之日前1年内的年度会计报表及中介机构审计报告等注册资本证明材料复印件；种子检验等设备清单和购置发票复印件；在生产地所在省（自治区、直辖市）的种子检验室、仓库的产权证明复印件；在生产地所在省（自治区、直辖市）的晒场的产权证明（或租赁协议）复印件，或者种子干燥设施设备的产权证明复印件；计量检定机构出具的涉及计量的检验设备检定证书复印件；相关设施设备的情况说明及实景照片；（三）种子生产、贮藏、检验技术人员资质证明和劳动合同复印件；（四）种子生产地点检疫证明；（五）品种审定证书复印件；（六）生产具有植物新品种权的种子，提交品种权人的书面同意证明；（七）种子生产安全隔离和生产条件说明；（八）农业部规定的其他材料。种子生产许可证申请者已取得相应作物的种子经营许可证的，免于提交前款第二项规定的材料和种子贮藏、检验技术人员资质证明及劳动合同复印件，但应当提交种子经营许可证复印件。”第九条：“审核机关应当自受理申请之日起20个工作日内完成审核工作。审核时应当对生产地点、晒场或者干燥设施设备、贮藏设施、检验设施设备等进行实地考察并查验有关证明材料原件（对具有相应作物种子经营许可证的只考察生产地点）。具备本办法规定条件的，签署审核意见，上报核发机关；审核不予通过的，书面通知申请人并说明理由。核发机关应当自收到审核意见和申请材料之日起20个工作日内完成核发工作。核发机关认为有必要的，可以进行实地考察。符合条件的，发给种子生产许可证并予公告；不符合条件的，书面通知申请人并说明理由。” 第十二条：“经营农作物种子的，应当依法取得农作物种子经营许可证（以下简称种子经营许可证）。主要农作物杂交种子及其亲本种子、常规种原种种子经营许可证，由种子经营者所在地县级人民政府农业行政主管部门审核，省级人民政府农业行政主管部门核发。下列种子经营许可证，由种子经营者所在地省级人民政府农业行政主管部门审核，农业部核发：（一）从事种子进出口业务的公司的种子经营许可证；（二）实行选育、生产、经营相结合，注册资本达到1亿元以上的公司的种子经营许可证。其他农作物种子经营许可证，由种子经营者所在地县级以上地方人民政府农业行政主管部门核发。” 第十七条：“申请种子经营许可证，应当提交以下材料：（一）农作物种子经营许可证申请表；（二）验资报告或者申请之日前1年内的年度会计报表及中介机构审计报告等注册资本和固定资产证明材料复印件；申请单位性质、资本构成等基本情况证明材料；（三）种子检验、加工等设施设备清单和购置发票复印件；种子检验室、加工厂房、仓库的产权证明复印件；晒场的产权证明（或租赁协议）复印件，或者种子干燥设施设备的产权证明复印件；计量检定机构出具的涉及计量的检验、包装设备检定证书复印件；相关设施设备的情况说明及实景照片；（四）种子检验、加工、贮藏等有关技术人员的资质证明和劳动合同复印件；（五）农业部规定的其他材料。” 第十九条：“审核机关应当自受理申请之日起20个工作日内完成审核工作。审核机关应当对营业场所、加工仓储设施、检验设施设备进行实地考察并查验有关证明材料原件。具备本办法规定条件的，签署审核意见，上报核发机关；审核不予通过的，书面通知申请人并说明理由。核发机关应当自收到申请材料和审核意见之日起20个工作日内完成核发工作。核发机关认为有必要的，可以进行实地考察。符合条件的，发给种子经营许可证并予公告；不符合条件的，书面通知申请人并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《中华人民共和国种子法》、《农作物种子生产经营许可证管理办法》、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szCs w:val="21"/>
        </w:rPr>
      </w:pPr>
    </w:p>
    <w:p>
      <w:pPr>
        <w:spacing w:line="360" w:lineRule="exac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表2-143</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草种经营许可证核发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种子法》（2000年7月8日第九届全国人民代表大会常务委员会第十六次会议通过根据2004年8月28日第十届全国人民代表大会常务委员会第十一次会议《关于修改〈中华人民共和国种子法〉的决定》第一次修正根据2013年6月29日第十二届全国人民代表大会常务委员会第三次会议《关于修改〈中华人民共和国文物保护法〉等十二部法律的决定》第二次修正　2015年11月4日第十二届全国人民代表大会常务委员会第十七次会议修订）第二条：“在中华人民共和国境内从事品种选育、种子生产经营和管理等活动，适用本法。本法所称种子，是指农作物和林木的种植材料或者繁殖材料，包括籽粒、果实、根、茎、苗、芽、叶、花等。”第三十一条：“从事种子进出口业务的种子生产经营许可证，由省、自治区、直辖市人民政府农业、林业主管部门审核，国务院农业、林业主管部门核发。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前两款规定以外的其他种子的生产经营许可证，由生产经营者所在地县级以上地方人民政府农业、林业主管部门核发。只从事非主要农作物种子和非主要林木种子生产的，不需要办理种子生产经营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rPr>
            </w:pPr>
            <w:r>
              <w:rPr>
                <w:rFonts w:hint="eastAsia" w:ascii="Times New Roman" w:hAnsi="Times New Roman"/>
                <w:szCs w:val="21"/>
              </w:rPr>
              <w:t>1-2.</w:t>
            </w:r>
            <w:r>
              <w:rPr>
                <w:rFonts w:hint="eastAsia" w:ascii="Times New Roman" w:hAnsi="Times New Roman"/>
              </w:rPr>
              <w:t xml:space="preserve"> 《中华人民共和国种子法》（2000年7月8日第九届全国人民代表大会常务委员会第十六次会议通过根据2004年8月28日第十届全国人民代表大会常务委员会第十一次会议《关于修改〈中华人民共和国种子法〉的决定》第一次修正根据2013年6月29日第十二届全国人民代表大会常务委员会第三次会议《关于修改〈中华人民共和国文物保护法〉等十二部法律的决定》第二次修正　2015年11月4日第十二届全国人民代表大会常务委员会第十七次会议修订）第二条：“在中华人民共和国境内从事品种选育、种子生产经营和管理等活动，适用本法。本法所称种子，是指农作物和林木的种植材料或者繁殖材料，包括籽粒、果实、根、茎、苗、芽、叶、花等。”第三十一条：“从事种子进出口业务的种子生产经营许可证，由省、自治区、直辖市人民政府农业、林业主管部门审核，国务院农业、林业主管部门核发。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前两款规定以外的其他种子的生产经营许可证，由生产经营者所在地县级以上地方人民政府农业、林业主管部门核发。只从事非主要农作物种子和非主要林木种子生产的，不需要办理种子生产经营许可证。”</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《中华人民共和国种子法》、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widowControl/>
        <w:spacing w:line="360" w:lineRule="exact"/>
        <w:jc w:val="lef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表2-144</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国家和省重点水生野生动物人工繁育许可证核发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pacing w:line="360" w:lineRule="exact"/>
              <w:rPr>
                <w:rFonts w:ascii="Times New Roman" w:hAnsi="Times New Roman"/>
              </w:rPr>
            </w:pPr>
            <w:r>
              <w:rPr>
                <w:rFonts w:hint="eastAsia" w:ascii="Times New Roman" w:hAnsi="Times New Roman"/>
              </w:rPr>
              <w:t>1.《中华人民共和国水生野生动物保护实施条例》（一九九三年九月十七日国务院批准，一九九三年十月五日农业部令第１号公布 根据2010年12月29日国务院第138次常务会议通过，2011年1月1日国务院令第588号公布、自发布之日起施行的《国务院关于废止和修改部分行政法规的决定》第一次修正 根据2013年12月4日国务院第32次常务会议通过，2013年12月7日中华人民共和国国务院令第645号公布，自2013年12月7日起施行的《国务院关于修改部分行政法规的决定》第二次修正）</w:t>
            </w:r>
            <w:r>
              <w:rPr>
                <w:rFonts w:ascii="Times New Roman" w:hAnsi="Times New Roman"/>
              </w:rPr>
              <w:t>第十七条</w:t>
            </w:r>
            <w:r>
              <w:rPr>
                <w:rFonts w:hint="eastAsia" w:ascii="Times New Roman" w:hAnsi="Times New Roman"/>
              </w:rPr>
              <w:t>：“</w:t>
            </w:r>
            <w:r>
              <w:rPr>
                <w:rFonts w:ascii="Times New Roman" w:hAnsi="Times New Roman"/>
              </w:rPr>
              <w:t>驯养繁殖国家一级保护水生野生动物的，应当持有国务院渔业行政主管部门核发的驯养繁殖许可证；驯养繁殖国家二级保护水生野生动物的，应当持有省、自治区、直辖市人民政府渔业行政主管部门核发的驯养繁殖许可证。 动物园驯养繁殖国家重点保护的水生野生动物的，渔业行政主管部门可以委托同级建设行政主管部门核发驯养繁殖许可证。</w:t>
            </w:r>
            <w:r>
              <w:rPr>
                <w:rFonts w:hint="eastAsia" w:ascii="Times New Roman" w:hAnsi="Times New Roman"/>
              </w:rPr>
              <w:t>”</w:t>
            </w:r>
            <w:r>
              <w:rPr>
                <w:rFonts w:ascii="Times New Roman" w:hAnsi="Times New Roman"/>
              </w:rPr>
              <w:t> </w:t>
            </w:r>
          </w:p>
          <w:p>
            <w:pPr>
              <w:widowControl/>
              <w:spacing w:line="360" w:lineRule="exact"/>
              <w:rPr>
                <w:rFonts w:ascii="Times New Roman" w:hAnsi="Times New Roman"/>
              </w:rPr>
            </w:pPr>
            <w:r>
              <w:rPr>
                <w:rFonts w:hint="eastAsia" w:ascii="Times New Roman" w:hAnsi="Times New Roman"/>
              </w:rPr>
              <w:t>2.《中华人民共和国水生野生动物利用特许办法》（1999年6月24日农业部令第15号公布，2004年7月1日农业部令第38号、2010年11月26日农业部令2010年第11号、2013年12月31日农业部令2013年第5号、2017年11月30日农业部令2017年第8号）第三条：“农业部主管全国水生野生动物利用特许管理工作，负责国家一级保护水生野生动物的捕捉、水生野生动物或其制品进出口和国务院规定由农业部负责的国家重点水生野生动物的人工繁育和出售购买利用其活体及制品活动的审批。省级人民政府渔业主管部门负责本行政区域内除国务院对审批机关另有规定的国家重点保护水生野生动物或其制品利用特许审批；县级以上地方人民政府渔业行政主管部门负责本行政区域内水生野生动物或其制品特许申请的审核。”</w:t>
            </w:r>
            <w:r>
              <w:rPr>
                <w:rFonts w:hint="eastAsia" w:ascii="Times New Roman" w:hAnsi="Times New Roman" w:eastAsia="微软雅黑" w:cs="宋体"/>
                <w:color w:val="333333"/>
                <w:kern w:val="0"/>
                <w:szCs w:val="21"/>
              </w:rPr>
              <w:t xml:space="preserve"> </w:t>
            </w:r>
            <w:r>
              <w:rPr>
                <w:rFonts w:hint="eastAsia" w:ascii="Times New Roman" w:hAnsi="Times New Roman"/>
              </w:rPr>
              <w:t>第十七条：“国务院规定由农业部批准的国家重点保护水生野生动物的人工繁育许可，向省级人民政府渔业行政主管部门提出申请。省级人民政府渔业行政主管部门应当自申请受理之日起20日内完成初步审查，并将审查意见和申请人的全部申请材料报农业部审批。农业部应当自收到省级人民政府渔业行政主管部门报送的材料之日起15日内作出是否发放人工繁育许可证的决定。除国务院规定由农业部批准以外的国家重点保护水生野生动物的人工繁育许可，应当向省级人民政府渔业主管部门申请。省级人民政府渔业行政主管部门应当自申请受理之日起20日内作出是否发放人工繁育证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2.审查责任：对申请人提交的申请材料进行审查，上报。</w:t>
            </w:r>
          </w:p>
          <w:p>
            <w:pPr>
              <w:spacing w:line="360" w:lineRule="exact"/>
              <w:ind w:firstLine="420" w:firstLineChars="200"/>
              <w:rPr>
                <w:rFonts w:ascii="Times New Roman" w:hAnsi="Times New Roman"/>
                <w:b/>
                <w:szCs w:val="21"/>
              </w:rPr>
            </w:pPr>
            <w:r>
              <w:rPr>
                <w:rFonts w:hint="eastAsia" w:ascii="Times New Roman" w:hAnsi="Times New Roman"/>
                <w:szCs w:val="21"/>
              </w:rPr>
              <w:t>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pacing w:line="360" w:lineRule="exact"/>
              <w:ind w:firstLine="420" w:firstLineChars="200"/>
              <w:rPr>
                <w:rFonts w:ascii="Times New Roman" w:hAnsi="Times New Roman"/>
              </w:rPr>
            </w:pPr>
            <w:r>
              <w:rPr>
                <w:rFonts w:hint="eastAsia" w:ascii="Times New Roman" w:hAnsi="Times New Roman"/>
                <w:szCs w:val="21"/>
              </w:rPr>
              <w:t>1-2</w:t>
            </w:r>
            <w:r>
              <w:rPr>
                <w:rFonts w:hint="eastAsia" w:ascii="Times New Roman" w:hAnsi="Times New Roman"/>
              </w:rPr>
              <w:t>.《中华人民共和国水生野生动物保护实施条例》（一九九三年九月十七日国务院批准，一九九三年十月五日农业部令第１号公布 根据2010年12月29日国务院第138次常务会议通过，2011年1月1日国务院令第588号公布、自发布之日起施行的《国务院关于废止和修改部分行政法规的决定》第一次修正 根据2013年12月4日国务院第32次常务会议通过，2013年12月7日中华人民共和国国务院令第645号公布，自2013年12月7日起施行的《国务院关于修改部分行政法规的决定》第二次修正）</w:t>
            </w:r>
            <w:r>
              <w:rPr>
                <w:rFonts w:ascii="Times New Roman" w:hAnsi="Times New Roman"/>
              </w:rPr>
              <w:t>第十七条</w:t>
            </w:r>
            <w:r>
              <w:rPr>
                <w:rFonts w:hint="eastAsia" w:ascii="Times New Roman" w:hAnsi="Times New Roman"/>
              </w:rPr>
              <w:t>：“</w:t>
            </w:r>
            <w:r>
              <w:rPr>
                <w:rFonts w:ascii="Times New Roman" w:hAnsi="Times New Roman"/>
              </w:rPr>
              <w:t>驯养繁殖国家一级保护水生野生动物的，应当持有国务院渔业行政主管部门核发的驯养繁殖许可证；驯养繁殖国家二级保护水生野生动物的，应当持有省、自治区、直辖市人民政府渔业行政主管部门核发的驯养繁殖许可证。 动物园驯养繁殖国家重点保护的水生野生动物的，渔业行政主管部门可以委托同级建设行政主管部门核发驯养繁殖许可证。</w:t>
            </w:r>
            <w:r>
              <w:rPr>
                <w:rFonts w:hint="eastAsia" w:ascii="Times New Roman" w:hAnsi="Times New Roman"/>
              </w:rPr>
              <w:t>”</w:t>
            </w:r>
            <w:r>
              <w:rPr>
                <w:rFonts w:ascii="Times New Roman" w:hAnsi="Times New Roman"/>
              </w:rPr>
              <w:t> </w:t>
            </w:r>
          </w:p>
          <w:p>
            <w:pPr>
              <w:spacing w:line="360" w:lineRule="exact"/>
              <w:ind w:firstLine="420" w:firstLineChars="200"/>
              <w:jc w:val="left"/>
              <w:rPr>
                <w:rFonts w:ascii="Times New Roman" w:hAnsi="Times New Roman"/>
              </w:rPr>
            </w:pPr>
            <w:r>
              <w:rPr>
                <w:rFonts w:hint="eastAsia" w:ascii="Times New Roman" w:hAnsi="Times New Roman"/>
              </w:rPr>
              <w:t>1-3.《中华人民共和国水生野生动物利用特许办法》（1999年6月24日农业部令第15号公布，2004年7月1日农业部令第38号、2010年11月26日农业部令2010年第11号、2013年12月31日农业部令2013年第5号、2017年11月30日农业部令2017年第8号）第三条：“农业部主管全国水生野生动物利用特许管理工作，负责国家一级保护水生野生动物的捕捉、水生野生动物或其制品进出口和国务院规定由农业部负责的国家重点水生野生动物的人工繁育和出售购买利用其活体及制品活动的审批。省级人民政府渔业主管部门负责本行政区域内除国务院对审批机关另有规定的国家重点保护水生野生动物或其制品利用特许审批；县级以上地方人民政府渔业行政主管部门负责本行政区域内水生野生动物或其制品特许申请的审核。”</w:t>
            </w:r>
            <w:r>
              <w:rPr>
                <w:rFonts w:hint="eastAsia" w:ascii="Times New Roman" w:hAnsi="Times New Roman" w:eastAsia="微软雅黑" w:cs="宋体"/>
                <w:color w:val="333333"/>
                <w:kern w:val="0"/>
                <w:szCs w:val="21"/>
              </w:rPr>
              <w:t xml:space="preserve"> </w:t>
            </w:r>
            <w:r>
              <w:rPr>
                <w:rFonts w:hint="eastAsia" w:ascii="Times New Roman" w:hAnsi="Times New Roman"/>
              </w:rPr>
              <w:t>第十七条：“国务院规定由农业部批准的国家重点保护水生野生动物的人工繁育许可，向省级人民政府渔业行政主管部门提出申请。省级人民政府渔业行政主管部门应当自申请受理之日起20日内完成初步审查，并将审查意见和申请人的全部申请材料报农业部审批。农业部应当自收到省级人民政府渔业行政主管部门报送的材料之日起15日内作出是否发放人工繁育许可证的决定。除国务院规定由农业部批准以外的国家重点保护水生野生动物的人工繁育许可，应当向省级人民政府渔业主管部门申请。省级人民政府渔业行政主管部门应当自申请受理之日起20日内作出是否发放人工繁育证的决定。”</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4.成都市成华区人民政府关于印发《成华区相对集中行政许可权改革工作实施方案》的通知（成华府发〔2019〕3号）。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《中华人民共和国水生野生动物保护实施条例》、《中华人民共和国水生野生动物利用特许办法》、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widowControl/>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sz w:val="24"/>
        </w:rPr>
      </w:pPr>
      <w:r>
        <w:rPr>
          <w:rFonts w:hint="eastAsia" w:ascii="Times New Roman" w:hAnsi="Times New Roman"/>
        </w:rPr>
        <w:t>表2-145</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经营利用国家和省重点水生野生动物及其制品审批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pacing w:line="360" w:lineRule="exact"/>
              <w:rPr>
                <w:rFonts w:ascii="Times New Roman" w:hAnsi="Times New Roman"/>
              </w:rPr>
            </w:pPr>
            <w:r>
              <w:rPr>
                <w:rFonts w:hint="eastAsia" w:ascii="Times New Roman" w:hAnsi="Times New Roman"/>
              </w:rPr>
              <w:t xml:space="preserve">1.《中华人民共和国水生野生动物保护实施条例》（一九九三年九月十七日国务院批准，一九九三年十月五日农业部令第１号公布 根据2010年12月29日国务院第138次常务会议通过，2011年1月1日国务院令第588号公布、自发布之日起施行的《国务院关于废止和修改部分行政法规的决定》第一次修正 根据2013年12月4日国务院第32次常务会议通过，2013年12月7日中华人民共和国国务院令第645号公布，自2013年12月7日起施行的《国务院关于修改部分行政法规的决定》第二次修正）第十八条：“禁止出售、收购国家重点保护的水生野生动物或者其产品。因科学研究、驯养繁殖、展览等特殊情况，需要出售、收购、利用国家一级保护水生野生动物或者其产品的，必须向省、自治区、直辖市人民政府渔业行政主管部门提出申请，经其签署意见后，报国务院渔业行政主管部门批准；需要出售、收购、利用国家二级保护水生野生动物或者其产品的，必须向省、自治区、直辖市人民政府渔业行政主管部门提出申请，并经其批准。” </w:t>
            </w:r>
          </w:p>
          <w:p>
            <w:pPr>
              <w:widowControl/>
              <w:spacing w:line="360" w:lineRule="exact"/>
              <w:rPr>
                <w:rFonts w:ascii="Times New Roman" w:hAnsi="Times New Roman"/>
              </w:rPr>
            </w:pPr>
            <w:r>
              <w:rPr>
                <w:rFonts w:hint="eastAsia" w:ascii="Times New Roman" w:hAnsi="Times New Roman"/>
              </w:rPr>
              <w:t>2.《中华人民共和国水生野生动物利用特许办法》（1999年6月24日农业部令第15号公布，2004年7月1日农业部令第38号、2010年11月26日农业部令2010年第11号、2013年12月31日农业部令2013年第5号、2017年11月30日农业部令2017年第8号）第三条：“农业部主管全国水生野生动物利用特许管理工作，负责国家一级保护水生野生动物的捕捉、水生野生动物或其制品进出口和国务院规定由农业部负责的国家重点水生野生动物的人工繁育和出售购买利用其活体及制品活动的审批。省级人民政府渔业主管部门负责本行政区域内除国务院对审批机关另有规定的国家重点保护水生野生动物或其制品利用特许审批；县级以上地方人民政府渔业行政主管部门负责本行政区域内水生野生动物或其制品特许申请的审核。”第二十三条：“国务院规定由农业部批准的国家重点保护水生野生动物或者其制品的出售、购买、利用许可，申请人应当将《申请表》和证明材料报所在地省级人民政府渔业行政主管部门签署意见。所在地省级人民政府渔业行政主管部门应当在20日内签署意见，并报农业部审批。除国务院规定由农业部批准以外的国家重点保护水生野生动物或者其制品的出售、购买、利用许可，应当向省级人民政府渔业主管部门申请。出售、购买、利用国家二级保护水生野生动物或其制品的，应当向省级人民政府渔业行政主管部门申请。省级人民政府渔业行政主管部门应当自受理之日起20日内作出是否发放经营利用证的决定。”第二十六条：“经批准出售、购买、利用水生野生动物或其制品的单位和个人，应当持《经营利用证》到出售、收购所在地的县级以上渔业行政主管部门备案后方可进行出售、购买、利用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2.审查责任：对申请人提交的申请材料进行审查，上报。</w:t>
            </w:r>
          </w:p>
          <w:p>
            <w:pPr>
              <w:spacing w:line="360" w:lineRule="exact"/>
              <w:ind w:firstLine="420" w:firstLineChars="200"/>
              <w:rPr>
                <w:rFonts w:ascii="Times New Roman" w:hAnsi="Times New Roman"/>
                <w:b/>
                <w:szCs w:val="21"/>
              </w:rPr>
            </w:pPr>
            <w:r>
              <w:rPr>
                <w:rFonts w:hint="eastAsia" w:ascii="Times New Roman" w:hAnsi="Times New Roman"/>
                <w:szCs w:val="21"/>
              </w:rPr>
              <w:t>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pacing w:line="360" w:lineRule="exact"/>
              <w:ind w:firstLine="420" w:firstLineChars="200"/>
              <w:rPr>
                <w:rFonts w:ascii="Times New Roman" w:hAnsi="Times New Roman"/>
              </w:rPr>
            </w:pPr>
            <w:r>
              <w:rPr>
                <w:rFonts w:hint="eastAsia" w:ascii="Times New Roman" w:hAnsi="Times New Roman"/>
                <w:szCs w:val="21"/>
              </w:rPr>
              <w:t>1-2</w:t>
            </w:r>
            <w:r>
              <w:rPr>
                <w:rFonts w:hint="eastAsia" w:ascii="Times New Roman" w:hAnsi="Times New Roman"/>
              </w:rPr>
              <w:t xml:space="preserve">.《中华人民共和国水生野生动物保护实施条例》（一九九三年九月十七日国务院批准，一九九三年十月五日农业部令第１号公布 根据2010年12月29日国务院第138次常务会议通过，2011年1月1日国务院令第588号公布、自发布之日起施行的《国务院关于废止和修改部分行政法规的决定》第一次修正 根据2013年12月4日国务院第32次常务会议通过，2013年12月7日中华人民共和国国务院令第645号公布，自2013年12月7日起施行的《国务院关于修改部分行政法规的决定》第二次修正）第十八条：“禁止出售、收购国家重点保护的水生野生动物或者其产品。因科学研究、驯养繁殖、展览等特殊情况，需要出售、收购、利用国家一级保护水生野生动物或者其产品的，必须向省、自治区、直辖市人民政府渔业行政主管部门提出申请，经其签署意见后，报国务院渔业行政主管部门批准；需要出售、收购、利用国家二级保护水生野生动物或者其产品的，必须向省、自治区、直辖市人民政府渔业行政主管部门提出申请，并经其批准。” </w:t>
            </w:r>
          </w:p>
          <w:p>
            <w:pPr>
              <w:spacing w:line="360" w:lineRule="exact"/>
              <w:ind w:firstLine="420" w:firstLineChars="200"/>
              <w:jc w:val="left"/>
              <w:rPr>
                <w:rFonts w:ascii="Times New Roman" w:hAnsi="Times New Roman"/>
              </w:rPr>
            </w:pPr>
            <w:r>
              <w:rPr>
                <w:rFonts w:hint="eastAsia" w:ascii="Times New Roman" w:hAnsi="Times New Roman"/>
              </w:rPr>
              <w:t>1-3.《中华人民共和国水生野生动物利用特许办法》（1999年6月24日农业部令第15号公布，2004年7月1日农业部令第38号、2010年11月26日农业部令2010年第11号、2013年12月31日农业部令2013年第5号、2017年11月30日农业部令2017年第8号）第三条：“农业部主管全国水生野生动物利用特许管理工作，负责国家一级保护水生野生动物的捕捉、水生野生动物或其制品进出口和国务院规定由农业部负责的国家重点水生野生动物的人工繁育和出售购买利用其活体及制品活动的审批。省级人民政府渔业主管部门负责本行政区域内除国务院对审批机关另有规定的国家重点保护水生野生动物或其制品利用特许审批；县级以上地方人民政府渔业行政主管部门负责本行政区域内水生野生动物或其制品特许申请的审核。”第二十三条：“国务院规定由农业部批准的国家重点保护水生野生动物或者其制品的出售、购买、利用许可，申请人应当将《申请表》和证明材料报所在地省级人民政府渔业行政主管部门签署意见。所在地省级人民政府渔业行政主管部门应当在20日内签署意见，并报农业部审批。除国务院规定由农业部批准以外的国家重点保护水生野生动物或者其制品的出售、购买、利用许可，应当向省级人民政府渔业主管部门申请。出售、购买、利用国家二级保护水生野生动物或其制品的，应当向省级人民政府渔业行政主管部门申请。省级人民政府渔业行政主管部门应当自受理之日起20日内作出是否发放经营利用证的决定。”第二十六条：“经批准出售、购买、利用水生野生动物或其制品的单位和个人，应当持《经营利用证》到出售、收购所在地的县级以上渔业行政主管部门备案后方可进行出售、购买、利用活动。”</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4.成都市成华区人民政府关于印发《成华区相对集中行政许可权改革工作实施方案》的通知（成华府发〔2019〕3号）。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5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《中华人民共和国水生野生动物保护实施条例》、《中华人民共和国水生野生动物利用特许办法》、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表2-146</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国家二级和省重点保护水生野生动物猎捕许可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pacing w:line="360" w:lineRule="exact"/>
              <w:rPr>
                <w:rFonts w:ascii="Times New Roman" w:hAnsi="Times New Roman"/>
              </w:rPr>
            </w:pPr>
            <w:r>
              <w:rPr>
                <w:rFonts w:hint="eastAsia" w:ascii="Times New Roman" w:hAnsi="Times New Roman"/>
              </w:rPr>
              <w:t>1.《中华人民共和国水生野生动物保护实施条例》（一九九三年九月十七日国务院批准，一九九三年十月五日农业部令第１号公布 根据2010年12月29日国务院第138次常务会议通过，2011年1月1日国务院令第588号公布、自发布之日起施行的《国务院关于废止和修改部分行政法规的决定》第一次修正 根据2013年12月4日国务院第32次常务会议通过，2013年12月7日中华人民共和国国务院令第645号公布，自2013年12月7日起施行的《国务院关于修改部分行政法规的决定》第二次修正）第十三条：“申请特许捕捉证的程序：（一）需要捕捉国家一级保护水生野生动物的，必须附具申请人所在地和捕捉地的省、自治区、直辖市人民政府渔业行政主管部门签署的意见，向国务院渔业行政主管部门申请特许捕捉证；（二）需要在本省、自治区、直辖市捕捉国家二级保护水生野生动物的，必须附具申请人所在地的县级人民政府渔业行政主管部门签署的意见，向省、自治区、直辖市人民政府渔业行政主管部门申请特许捕捉证；（三）需要跨省、自治区、直辖市捕捉国家二级保护水生野生动物的，必须附具申请人所在地的省、自治区、直辖市人民政府渔业行政主管部门签署的意见，向捕捉地的省、自治区、直辖市人民政府渔业行政主管部门申请特许捕捉证。动物园申请捕捉国家一级保护水生野生动物的，在句国务院渔业行政主管部门申请特许捕捉证前，须经国务院建设行政主管部门审核同意；申请捕捉国家二级保护水生野生动物的，在向申请人所在地的省、自治区、直辖市人民政府渔业行政主管部门申请特许捕捉证前，须经同级人民政府建设行政主管部门审核同意。负责核发特许捕捉证的部门接到申请后，应当自接到申请之日起三个月内作出批准或者不批准的决定。”</w:t>
            </w:r>
          </w:p>
          <w:p>
            <w:pPr>
              <w:widowControl/>
              <w:spacing w:line="360" w:lineRule="exact"/>
              <w:rPr>
                <w:rFonts w:ascii="Times New Roman" w:hAnsi="Times New Roman"/>
              </w:rPr>
            </w:pPr>
            <w:r>
              <w:rPr>
                <w:rFonts w:hint="eastAsia" w:ascii="Times New Roman" w:hAnsi="Times New Roman"/>
              </w:rPr>
              <w:t>2.《中华人民共和国水生野生动物利用特许办法》（1999年6月24日农业部令第15号公布，2004年7月1日农业部令第38号、2010年11月26日农业部令2010年第11号、2013年12月31日农业部令2013年第5号、2017年11月30日农业部令2017年第8号）第八条：“禁止捕捉、杀害水生野生动物。因科研、教学、人工繁育、展览、捐赠等特殊情况需要捕捉水生野生动物的，必须办理《猎捕证》。” 第十条：“申请捕捉国家一级保护水生野生动物的，申请人应当将《申请表》和证明材料报所在地省级人民政府渔业行政主管部门签署意见。省级人民政府渔业行政主管部门应当在20日内签署意见，并报农业部审批。需要跨省捕捉国家一级保护水生野生动物的，申请人应当将《申请表》和证明材料报所在地省级人民政府渔业行政主管部门签署意见。所在地省级人民政府渔业行政主管部门应当在20日内签署意见，并转送捕捉地省级人民政府渔业行政主管部门签署意见。捕捉地省级人民政府渔业行政主管部门应当在20日内签署意见，并报农业部审批。农业部自收到省级人民政府渔业行政主管部门报送的材料之日起40日内作出是否发放特许猎捕证的决定。”第十一条：“申请捕捉国家二级保护水生野生动物的，申请人应当将《申请表》和证明材料报所在地县级人民政府渔业行政主管部门签署意见。所在地县级人民政府渔业行政主管部门应当在20日内签署意见，并报省级人民政府渔业行政主管部门审批。省级人民政府渔业行政主管部门应当自收到县级人民政府渔业行政主管部门报送的材料之日起40日内作出是否发放猎捕证的决定。需要跨省捕捉国家二级保护水生野生动物的，申请人应当将《申请表》和证明材料报所在地省级人民政府渔业行政主管部门签署意见。所在地省级人民政府渔业行政主管部门应当在20日内签署意见，并转送捕捉地省级人民政府渔业行政主管部门审批。捕捉地省级人民政府渔业行政主管部门应当自收到所在地省级人民政府渔业行政主管部门报送的材料之日起40日内作出是否发放猎捕证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2.审查责任：对申请人提交的申请材料进行审查，上报。</w:t>
            </w:r>
          </w:p>
          <w:p>
            <w:pPr>
              <w:spacing w:line="360" w:lineRule="exact"/>
              <w:ind w:firstLine="420" w:firstLineChars="200"/>
              <w:rPr>
                <w:rFonts w:ascii="Times New Roman" w:hAnsi="Times New Roman"/>
                <w:b/>
                <w:szCs w:val="21"/>
              </w:rPr>
            </w:pPr>
            <w:r>
              <w:rPr>
                <w:rFonts w:hint="eastAsia" w:ascii="Times New Roman" w:hAnsi="Times New Roman"/>
                <w:szCs w:val="21"/>
              </w:rPr>
              <w:t>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pacing w:line="360" w:lineRule="exact"/>
              <w:ind w:firstLine="420" w:firstLineChars="200"/>
              <w:rPr>
                <w:rFonts w:ascii="Times New Roman" w:hAnsi="Times New Roman"/>
              </w:rPr>
            </w:pPr>
            <w:r>
              <w:rPr>
                <w:rFonts w:hint="eastAsia" w:ascii="Times New Roman" w:hAnsi="Times New Roman"/>
              </w:rPr>
              <w:t>1-2.《中华人民共和国水生野生动物保护实施条例》（一九九三年九月十七日国务院批准，一九九三年十月五日农业部令第１号公布 根据2010年12月29日国务院第138次常务会议通过，2011年1月1日国务院令第588号公布、自发布之日起施行的《国务院关于废止和修改部分行政法规的决定》第一次修正 根据2013年12月4日国务院第32次常务会议通过，2013年12月7日中华人民共和国国务院令第645号公布，自2013年12月7日起施行的《国务院关于修改部分行政法规的决定》第二次修正）第十三条：“申请特许捕捉证的程序：（一）需要捕捉国家一级保护水生野生动物的，必须附具申请人所在地和捕捉地的省、自治区、直辖市人民政府渔业行政主管部门签署的意见，向国务院渔业行政主管部门申请特许捕捉证；（二）需要在本省、自治区、直辖市捕捉国家二级保护水生野生动物的，必须附具申请人所在地的县级人民政府渔业行政主管部门签署的意见，向省、自治区、直辖市人民政府渔业行政主管部门申请特许捕捉证；（三）需要跨省、自治区、直辖市捕捉国家二级保护水生野生动物的，必须附具申请人所在地的省、自治区、直辖市人民政府渔业行政主管部门签署的意见，向捕捉地的省、自治区、直辖市人民政府渔业行政主管部门申请特许捕捉证。动物园申请捕捉国家一级保护水生野生动物的，在句国务院渔业行政主管部门申请特许捕捉证前，须经国务院建设行政主管部门审核同意；申请捕捉国家二级保护水生野生动物的，在向申请人所在地的省、自治区、直辖市人民政府渔业行政主管部门申请特许捕捉证前，须经同级人民政府建设行政主管部门审核同意。负责核发特许捕捉证的部门接到申请后，应当自接到申请之日起三个月内作出批准或者不批准的决定。”</w:t>
            </w:r>
          </w:p>
          <w:p>
            <w:pPr>
              <w:widowControl/>
              <w:spacing w:line="360" w:lineRule="exact"/>
              <w:ind w:firstLine="525" w:firstLineChars="250"/>
              <w:rPr>
                <w:rFonts w:ascii="Times New Roman" w:hAnsi="Times New Roman"/>
              </w:rPr>
            </w:pPr>
            <w:r>
              <w:rPr>
                <w:rFonts w:hint="eastAsia" w:ascii="Times New Roman" w:hAnsi="Times New Roman"/>
              </w:rPr>
              <w:t>1-3.《中华人民共和国水生野生动物利用特许办法》（1999年6月24日农业部令第15号公布，2004年7月1日农业部令第38号、2010年11月26日农业部令2010年第11号、2013年12月31日农业部令2013年第5号、2017年11月30日农业部令2017年第8号）第八条：“禁止捕捉、杀害水生野生动物。因科研、教学、人工繁育、展览、捐赠等特殊情况需要捕捉水生野生动物的，必须办理《猎捕证》。” 第十条：“申请捕捉国家一级保护水生野生动物的，申请人应当将《申请表》和证明材料报所在地省级人民政府渔业行政主管部门签署意见。省级人民政府渔业行政主管部门应当在20日内签署意见，并报农业部审批。需要跨省捕捉国家一级保护水生野生动物的，申请人应当将《申请表》和证明材料报所在地省级人民政府渔业行政主管部门签署意见。所在地省级人民政府渔业行政主管部门应当在20日内签署意见，并转送捕捉地省级人民政府渔业行政主管部门签署意见。捕捉地省级人民政府渔业行政主管部门应当在20日内签署意见，并报农业部审批。农业部自收到省级人民政府渔业行政主管部门报送的材料之日起40日内作出是否发放特许猎捕证的决定。”第十一条：“申请捕捉国家二级保护水生野生动物的，申请人应当将《申请表》和证明材料报所在地县级人民政府渔业行政主管部门签署意见。所在地县级人民政府渔业行政主管部门应当在20日内签署意见，并报省级人民政府渔业行政主管部门审批。省级人民政府渔业行政主管部门应当自收到县级人民政府渔业行政主管部门报送的材料之日起40日内作出是否发放猎捕证的决定。需要跨省捕捉国家二级保护水生野生动物的，申请人应当将《申请表》和证明材料报所在地省级人民政府渔业行政主管部门签署意见。所在地省级人民政府渔业行政主管部门应当在20日内签署意见，并转送捕捉地省级人民政府渔业行政主管部门审批。捕捉地省级人民政府渔业行政主管部门应当自收到所在地省级人民政府渔业行政主管部门报送的材料之日起40日内作出是否发放猎捕证的决定。”</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4.成都市成华区人民政府关于印发《成华区相对集中行政许可权改革工作实施方案》的通知（成华府发〔2019〕3号）。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《中华人民共和国水生野生动物保护实施条例》、《中华人民共和国水生野生动物利用特许办法》、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 w:val="24"/>
        </w:rPr>
      </w:pPr>
      <w:r>
        <w:rPr>
          <w:rFonts w:hint="eastAsia" w:ascii="Times New Roman" w:hAnsi="Times New Roman"/>
        </w:rPr>
        <w:t>表2-147</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河道采砂许可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四川省河道采砂管理条例》（2015年7月22日四川省第十二届人大常务委员会第十七次会议通过）第十七条：“取得河道采砂权的单位或者个人，应当向有许可权的县级以上地方人民政府水行政主管部门提出河道采砂申请，办理河道采砂许可证。村民因生活自用少量砂石需到河道采挖的，凭当地村民委员会证明材料，经乡（镇）人民政府核实后，免办河道采砂许可证，在河道采砂规划规定的可采区和可采期采挖。采挖的砂石不得销售。乡（镇）人民政府应当及时将村民自用自采的情况向县级人民政府水行政主管部门备案。”第十八条：“申请办理河道采砂许可证应当提交下列材料：（一）河道采砂申请书;（二）营业执照;（三）开采的总量、地点、控制高程和范围（附范围图）；（四）符合要求的采砂设备和采砂技术人员证明材料；（五）砂石堆放地点，弃料处理及现场清理、平整方案；（六）采砂与第三方有利害关系的，与第三方达成的协议或者相关材料；（七）法律法规规定应当提供的其他材料。利用采砂船舶作业的，还应当提供采砂船舶、船员的有效证书和证件。”第十九条：“县级以上地方人民政府水行政主管部门对申请材料齐全、符合法定形式的河道采砂申请，应当予以受理。对申请材料不齐全或者不符合法定形式的，应当在五个工作日内一次告知需要补正的全部内容，逾期不告知补正内容的，自收到申请材料之日起即视为受理。”第二十条：“经审查符合下列条件的,有许可权的水行政主管部门应当作出准予许可的决定,向申请人发放统一印制的河道采砂许可证，并向社会公布；不符合下列条件的,　应当作出不予同意的书面决定，说明理由，并告知申请人依法享有申请行政复议或者提起行政诉讼的权利：（一）符合河道采砂规划；（二）符合河道采砂年度实施方案；（三）法律、法规规定的其他条件。”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rPr>
              <w:t>1-2.《四川省河道采砂管理条例》（2015年7月22日四川省第十二届人大常务委员会第十七次会议通过）第十七条：“取得河道采砂权的单位或者个人，应当向有许可权的县级以上地方人民政府水行政主管部门提出河道采砂申请，办理河道采砂许可证。村民因生活自用少量砂石需到河道采挖的，凭当地村民委员会证明材料，经乡（镇）人民政府核实后，免办河道采砂许可证，在河道采砂规划规定的可采区和可采期采挖。采挖的砂石不得销售。乡（镇）人民政府应当及时将村民自用自采的情况向县级人民政府水行政主管部门备案。”第十八条：“申请办理河道采砂许可证应当提交下列材料：（一）河道采砂申请书;（二）营业执照;（三）开采的总量、地点、控制高程和范围（附范围图）；（四）符合要求的采砂设备和采砂技术人员证明材料；（五）砂石堆放地点，弃料处理及现场清理、平整方案；（六）采砂与第三方有利害关系的，与第三方达成的协议或者相关材料；（七）法律法规规定应当提供的其他材料。利用采砂船舶作业的，还应当提供采砂船舶、船员的有效证书和证件。”第十九条：“县级以上地方人民政府水行政主管部门对申请材料齐全、符合法定形式的河道采砂申请，应当予以受理。对申请材料不齐全或者不符合法定形式的，应当在五个工作日内一次告知需要补正的全部内容，逾期不告知补正内容的，自收到申请材料之日起即视为受理。”第二十条：“经审查符合下列条件的,有许可权的水行政主管部门应当作出准予许可的决定,向申请人发放统一印制的河道采砂许可证，并向社会公布；不符合下列条件的,　应当作出不予同意的书面决定，说明理由，并告知申请人依法享有申请行政复议或者提起行政诉讼的权利：（一）符合河道采砂规划；（二）符合河道采砂年度实施方案；（三）法律、法规规定的其他条件。”</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《四川省河道采砂管理条例》、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tabs>
          <w:tab w:val="left" w:pos="735"/>
        </w:tabs>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表2-148</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河道管理范围内有关活动（不含河道采砂）审批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水法》第三十八条：“在河道管理范围内建设桥梁、码头和其他拦河、跨河、临河建筑物、构筑物，铺设跨河管道、电缆，应当符合国家规定的防洪标准和其他有关的技术要求，工程建设方案应当依照防洪法的有关规定报经有关水行政主管部门审查同意。”</w:t>
            </w:r>
          </w:p>
          <w:p>
            <w:pPr>
              <w:widowControl/>
              <w:shd w:val="clear" w:color="auto" w:fill="FFFFFF"/>
              <w:spacing w:line="360" w:lineRule="exact"/>
              <w:jc w:val="left"/>
              <w:rPr>
                <w:rFonts w:ascii="Times New Roman" w:hAnsi="Times New Roman"/>
              </w:rPr>
            </w:pPr>
            <w:r>
              <w:rPr>
                <w:rFonts w:hint="eastAsia" w:ascii="Times New Roman" w:hAnsi="Times New Roman"/>
              </w:rPr>
              <w:t>2.《中华人民共和国防洪法》第二十七条：“建设跨河、穿河、穿堤、临河的桥梁、码头、道路、渡口、管道、缆线、取水、排水等工程设施，应当符合防洪标准、岸线规划、航运要求和其他技术要求，不得危害堤防安全、影响河势稳定、妨碍行洪畅通；其工程建设方案未经有关水行政主管部门根据前述防洪要求审查同意的，建设单位不得开工建设。前款工程设施需要占用河道、湖泊管理范围内土地，跨越河道、湖泊空间或者穿越河床的，建设单位应当经有关水行政主管部门对该工程设施建设的位置和界限审查批准后，方可依法办理开工手续；安排施工时，应当按照水行政主管部门审查批准的位置和界限进行。”</w:t>
            </w:r>
          </w:p>
          <w:p>
            <w:pPr>
              <w:widowControl/>
              <w:shd w:val="clear" w:color="auto" w:fill="FFFFFF"/>
              <w:spacing w:line="360" w:lineRule="exact"/>
              <w:jc w:val="left"/>
              <w:rPr>
                <w:rFonts w:ascii="Times New Roman" w:hAnsi="Times New Roman"/>
              </w:rPr>
            </w:pPr>
            <w:r>
              <w:rPr>
                <w:rFonts w:hint="eastAsia" w:ascii="Times New Roman" w:hAnsi="Times New Roman"/>
              </w:rPr>
              <w:t>3.《中华人民共和国河道管理条例》第二十五条：“在河道管理范围内进行下列活动，必须报经河道主管机关批准；涉及其他部门的，由河道主管机关会同有关部门批准：（一）采砂、取土、淘金、弃置砂石或者淤泥；（二）爆破、钻探、挖筑鱼塘；（三）在河滩地存放物料、修建厂房或者其他建筑设施；（四）在河道滩地开采地下资源及进行考古发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rPr>
            </w:pPr>
            <w:r>
              <w:rPr>
                <w:rFonts w:hint="eastAsia" w:ascii="Times New Roman" w:hAnsi="Times New Roman"/>
              </w:rPr>
              <w:t>1-2.《中华人民共和国水法》第三十八条：“在河道管理范围内建设桥梁、码头和其他拦河、跨河、临河建筑物、构筑物，铺设跨河管道、电缆，应当符合国家规定的防洪标准和其他有关的技术要求，工程建设方案应当依照防洪法的有关规定报经有关水行政主管部门审查同意。”</w:t>
            </w:r>
          </w:p>
          <w:p>
            <w:pPr>
              <w:spacing w:line="360" w:lineRule="exact"/>
              <w:ind w:firstLine="420" w:firstLineChars="200"/>
              <w:jc w:val="left"/>
              <w:rPr>
                <w:rFonts w:ascii="Times New Roman" w:hAnsi="Times New Roman"/>
              </w:rPr>
            </w:pPr>
            <w:r>
              <w:rPr>
                <w:rFonts w:hint="eastAsia" w:ascii="Times New Roman" w:hAnsi="Times New Roman"/>
              </w:rPr>
              <w:t>1-3.《中华人民共和国防洪法》第二十七条：“建设跨河、穿河、穿堤、临河的桥梁、码头、道路、渡口、管道、缆线、取水、排水等工程设施，应当符合防洪标准、岸线规划、航运要求和其他技术要求，不得危害堤防安全、影响河势稳定、妨碍行洪畅通；其工程建设方案未经有关水行政主管部门根据前述防洪要求审查同意的，建设单位不得开工建设。前款工程设施需要占用河道、湖泊管理范围内土地，跨越河道、湖泊空间或者穿越河床的，建设单位应当经有关水行政主管部门对该工程设施建设的位置和界限审查批准后，方可依法办理开工手续；安排施工时，应当按照水行政主管部门审查批准的位置和界限进行。”</w:t>
            </w:r>
          </w:p>
          <w:p>
            <w:pPr>
              <w:spacing w:line="360" w:lineRule="exact"/>
              <w:ind w:firstLine="420" w:firstLineChars="200"/>
              <w:jc w:val="left"/>
              <w:rPr>
                <w:rFonts w:ascii="Times New Roman" w:hAnsi="Times New Roman"/>
              </w:rPr>
            </w:pPr>
            <w:r>
              <w:rPr>
                <w:rFonts w:hint="eastAsia" w:ascii="Times New Roman" w:hAnsi="Times New Roman"/>
              </w:rPr>
              <w:t>1-4.《中华人民共和国河道管理条例》第二十五条：“在河道管理范围内进行下列活动，必须报经河道主管机关批准；涉及其他部门的，由河道主管机关会同有关部门批准：（一）采砂、取土、淘金、弃置砂石或者淤泥；（二）爆破、钻探、挖筑鱼塘；（三）在河滩地存放物料、修建厂房或者其他建筑设施；（四）在河道滩地开采地下资源及进行考古发掘。”</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对不履行或不正确履行行政职责的行政机关及其工作人员，依据《中华人民共和国行政监察法》、《中华人民共和国行政许可法》、《行政机关公务员处分条例》、《中华人民共和国</w:t>
            </w:r>
            <w:r>
              <w:rPr>
                <w:rFonts w:hint="eastAsia" w:ascii="Times New Roman" w:hAnsi="Times New Roman"/>
                <w:szCs w:val="21"/>
              </w:rPr>
              <w:t>水</w:t>
            </w:r>
            <w:r>
              <w:rPr>
                <w:rFonts w:ascii="Times New Roman" w:hAnsi="Times New Roman"/>
                <w:szCs w:val="21"/>
              </w:rPr>
              <w:t>法》</w:t>
            </w:r>
            <w:r>
              <w:rPr>
                <w:rFonts w:hint="eastAsia" w:ascii="Times New Roman" w:hAnsi="Times New Roman"/>
                <w:szCs w:val="21"/>
              </w:rPr>
              <w:t>、</w:t>
            </w:r>
            <w:r>
              <w:rPr>
                <w:rFonts w:ascii="Times New Roman" w:hAnsi="Times New Roman"/>
                <w:szCs w:val="21"/>
              </w:rPr>
              <w:t>《中华人民共和国</w:t>
            </w:r>
            <w:r>
              <w:rPr>
                <w:rFonts w:hint="eastAsia" w:ascii="Times New Roman" w:hAnsi="Times New Roman"/>
                <w:szCs w:val="21"/>
              </w:rPr>
              <w:t>防洪</w:t>
            </w:r>
            <w:r>
              <w:rPr>
                <w:rFonts w:ascii="Times New Roman" w:hAnsi="Times New Roman"/>
                <w:szCs w:val="21"/>
              </w:rPr>
              <w:t>法》</w:t>
            </w:r>
            <w:r>
              <w:rPr>
                <w:rFonts w:hint="eastAsia" w:ascii="Times New Roman" w:hAnsi="Times New Roman"/>
                <w:szCs w:val="21"/>
              </w:rPr>
              <w:t>、</w:t>
            </w:r>
            <w:r>
              <w:rPr>
                <w:rFonts w:ascii="Times New Roman" w:hAnsi="Times New Roman"/>
                <w:szCs w:val="21"/>
              </w:rPr>
              <w:t>《中华人民共和国</w:t>
            </w:r>
            <w:r>
              <w:rPr>
                <w:rFonts w:hint="eastAsia" w:ascii="Times New Roman" w:hAnsi="Times New Roman"/>
                <w:szCs w:val="21"/>
              </w:rPr>
              <w:t>河道管理条例</w:t>
            </w:r>
            <w:r>
              <w:rPr>
                <w:rFonts w:ascii="Times New Roman" w:hAnsi="Times New Roman"/>
                <w:szCs w:val="21"/>
              </w:rPr>
              <w:t>》</w:t>
            </w:r>
            <w:r>
              <w:rPr>
                <w:rFonts w:hint="eastAsia" w:ascii="Times New Roman" w:hAnsi="Times New Roman"/>
                <w:szCs w:val="21"/>
              </w:rPr>
              <w:t>、</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表2-149</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生产建设项目水土保持方案审批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水土保持法》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w:t>
            </w:r>
          </w:p>
          <w:p>
            <w:pPr>
              <w:widowControl/>
              <w:shd w:val="clear" w:color="auto" w:fill="FFFFFF"/>
              <w:spacing w:line="360" w:lineRule="exact"/>
              <w:jc w:val="left"/>
              <w:rPr>
                <w:rFonts w:ascii="Times New Roman" w:hAnsi="Times New Roman"/>
              </w:rPr>
            </w:pPr>
            <w:r>
              <w:rPr>
                <w:rFonts w:hint="eastAsia" w:ascii="Times New Roman" w:hAnsi="Times New Roman"/>
              </w:rPr>
              <w:t>2.《开发建设项目水土保持方案编报审批管理规定》第八条：“水行政主管部门审批水土保持方案实行分级审批制度。”</w:t>
            </w:r>
          </w:p>
          <w:p>
            <w:pPr>
              <w:widowControl/>
              <w:shd w:val="clear" w:color="auto" w:fill="FFFFFF"/>
              <w:spacing w:line="360" w:lineRule="exact"/>
              <w:jc w:val="left"/>
              <w:rPr>
                <w:rFonts w:ascii="Times New Roman" w:hAnsi="Times New Roman"/>
              </w:rPr>
            </w:pPr>
            <w:r>
              <w:rPr>
                <w:rFonts w:hint="eastAsia" w:ascii="Times New Roman" w:hAnsi="Times New Roman"/>
              </w:rPr>
              <w:t>3.《四川省〈中华人民共和国水土保持法〉实施办法》第二十条：“开办扰动地表、损坏地貌植被并进行土石方开挖、填筑、转运、堆存的生产建设项目，生产建设单位应当编制水土保持方案，报县级以上地方人民政府水行政主管部门审批，并按照经批准的水土保持方案，采取水土流失预防和治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rPr>
            </w:pPr>
            <w:r>
              <w:rPr>
                <w:rFonts w:hint="eastAsia" w:ascii="Times New Roman" w:hAnsi="Times New Roman"/>
              </w:rPr>
              <w:t>1-2.《中华人民共和国水土保持法》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w:t>
            </w:r>
          </w:p>
          <w:p>
            <w:pPr>
              <w:spacing w:line="360" w:lineRule="exact"/>
              <w:ind w:firstLine="420" w:firstLineChars="200"/>
              <w:jc w:val="left"/>
              <w:rPr>
                <w:rFonts w:ascii="Times New Roman" w:hAnsi="Times New Roman"/>
              </w:rPr>
            </w:pPr>
            <w:r>
              <w:rPr>
                <w:rFonts w:hint="eastAsia" w:ascii="Times New Roman" w:hAnsi="Times New Roman"/>
              </w:rPr>
              <w:t>1-3.《开发建设项目水土保持方案编报审批管理规定》第八条：“水行政主管部门审批水土保持方案实行分级审批制度。”</w:t>
            </w:r>
          </w:p>
          <w:p>
            <w:pPr>
              <w:spacing w:line="360" w:lineRule="exact"/>
              <w:ind w:firstLine="420" w:firstLineChars="200"/>
              <w:jc w:val="left"/>
              <w:rPr>
                <w:rFonts w:ascii="Times New Roman" w:hAnsi="Times New Roman"/>
              </w:rPr>
            </w:pPr>
            <w:r>
              <w:rPr>
                <w:rFonts w:hint="eastAsia" w:ascii="Times New Roman" w:hAnsi="Times New Roman"/>
              </w:rPr>
              <w:t>1-4.《四川省〈中华人民共和国水土保持法〉实施办法》第二十条：“开办扰动地表、损坏地貌植被并进行土石方开挖、填筑、转运、堆存的生产建设项目，生产建设单位应当编制水土保持方案，报县级以上地方人民政府水行政主管部门审批，并按照经批准的水土保持方案，采取水土流失预防和治理措施。”</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《中华人民共和国水土保持法》、《开发建设项目水土保持方案编报审批管理规定》、《四川省〈中华人民共和国水土保持法〉实施办法》、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表2-150</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占用农业灌溉水源、水利工程及其附属设施，或者影响灌溉用水、供水水源的建设项目审批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四川省水利工程管理条例》第二十四条：“建设项目需要占用农业灌溉水源、水利工程及其附属设施，或者对原有灌溉用水、供水水源有不利影响的，建设单位或者个人应当事先征得水利工程管理单位同意，报有管辖权的水行政主管部门审批，并采取相应的补救措施；造成运行成本增加以及其他损失的，应当依法评估作价后给予补偿。补偿办法由省人民政府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rPr>
            </w:pPr>
            <w:r>
              <w:rPr>
                <w:rFonts w:hint="eastAsia" w:ascii="Times New Roman" w:hAnsi="Times New Roman"/>
              </w:rPr>
              <w:t>1-2. 《四川省水利工程管理条例》第二十四条：“建设项目需要占用农业灌溉水源、水利工程及其附属设施，或者对原有灌溉用水、供水水源有不利影响的，建设单位或者个人应当事先征得水利工程管理单位同意，报有管辖权的水行政主管部门审批，并采取相应的补救措施；造成运行成本增加以及其他损失的，应当依法评估作价后给予补偿。补偿办法由省人民政府制定。”</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《四川省水利工程管理条例》、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表2-151</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水利工程管理范围内建设项目审批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四川省水利工程管理条例》第二十三条：“在水利工程管理范围内新建、改建、扩建各类建设项目，建设单位或者个人应当事先征得水利工程管理单位同意，并报有管辖权的水行政主管部门审批。工程竣工后，水行政主管部门应当参加验收，未经验收或者验收不合格的不得投入使用。在水利工程管理范围内新建、改建、扩建各类建设项目，应当符合国家规定的防洪标准和其他有关技术要求，确保安全生产和消除有毒有害因素，不得影响水利工程安全，不得破坏水生态环境，保持行洪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rPr>
            </w:pPr>
            <w:r>
              <w:rPr>
                <w:rFonts w:hint="eastAsia" w:ascii="Times New Roman" w:hAnsi="Times New Roman"/>
              </w:rPr>
              <w:t>1-2. 《四川省水利工程管理条例》第二十三条：“在水利工程管理范围内新建、改建、扩建各类建设项目，建设单位或者个人应当事先征得水利工程管理单位同意，并报有管辖权的水行政主管部门审批。工程竣工后，水行政主管部门应当参加验收，未经验收或者验收不合格的不得投入使用。在水利工程管理范围内新建、改建、扩建各类建设项目，应当符合国家规定的防洪标准和其他有关技术要求，确保安全生产和消除有毒有害因素，不得影响水利工程安全，不得破坏水生态环境，保持行洪畅通。”</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《四川省水利工程管理条例》、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表2-152</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利用水利工程开展经营活动审批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四川省水利工程管理条例》第四十三条：“水利工程管理范围内的水域、已经征用或者相关部门确权的土地依法归水利工程管理单位使用，任何单位和个人不得侵占。”第四十四条：“利用水利工程水土资源开展经营活动，不得改变工程原有用途，不得影响工程安全、正常运行，不得污染水体，不得破坏水生态环境，并服从防汛抗旱指挥调度和水资源调度。经营活动方案应当经有管辖权的水行政主管部门审查批准；涉及通航水域的，还应当取得航道、海事管理机构的同意，不得影响航道畅通和通航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rPr>
            </w:pPr>
            <w:r>
              <w:rPr>
                <w:rFonts w:hint="eastAsia" w:ascii="Times New Roman" w:hAnsi="Times New Roman"/>
              </w:rPr>
              <w:t>1-2. 《四川省水利工程管理条例》第四十三条：“水利工程管理范围内的水域、已经征用或者相关部门确权的土地依法归水利工程管理单位使用，任何单位和个人不得侵占。”第四十四条：“利用水利工程水土资源开展经营活动，不得改变工程原有用途，不得影响工程安全、正常运行，不得污染水体，不得破坏水生态环境，并服从防汛抗旱指挥调度和水资源调度。经营活动方案应当经有管辖权的水行政主管部门审查批准；涉及通航水域的，还应当取得航道、海事管理机构的同意，不得影响航道畅通和通航安全。”</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《四川省水利工程管理条例》、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表2-153</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水库大坝坝顶兼做公路审批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1.《水库大坝安全管理条例》第十六条：“大坝坝顶确需兼做公路的，须经科学论证和县级以上地方人民政府大坝主管部门批准，并采取相应的安全维护措施。”</w:t>
            </w:r>
          </w:p>
          <w:p>
            <w:pPr>
              <w:widowControl/>
              <w:shd w:val="clear" w:color="auto" w:fill="FFFFFF"/>
              <w:spacing w:line="360" w:lineRule="exact"/>
              <w:jc w:val="left"/>
              <w:rPr>
                <w:rFonts w:ascii="Times New Roman" w:hAnsi="Times New Roman"/>
              </w:rPr>
            </w:pPr>
            <w:r>
              <w:rPr>
                <w:rFonts w:hint="eastAsia" w:ascii="Times New Roman" w:hAnsi="Times New Roman"/>
              </w:rPr>
              <w:t>2. 《四川省水库大坝安全管理办法》第十六条：“水库大坝坝顶确需兼做公路的，必须进行科学论证，满足水库大坝安全运行要求，并报经水库大坝主管部门批准，申请大坝兼做公路的单位应采取相应的安全加固措施并承担日常维护费用。申请大坝兼做公路的单位应向水库大坝主管部门提交以下材料：（一）水库大坝安全复核评价报告及鉴定报告书；（二）过坝交通限载规定及坝顶设施相关构筑物维修养护责任书；（三）依法应当提交的其他材料。水库大坝主管部门应当自收到申报材料之日起10个工作日内，转告有关部门分别提出意见；有关部门应当自收到转报材料之日起15个工作日内予以回复；水库大坝主管部门自收到回复意见之日起25个工作日内统一进行审查，对符合条件的，做出批准的书面决定；对不符合条件的，做出不予批准的书面决定并说明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1-2.《水库大坝安全管理条例》第十六条：“大坝坝顶确需兼做公路的，须经科学论证和县级以上地方人民政府大坝主管部门批准，并采取相应的安全维护措施。”</w:t>
            </w:r>
          </w:p>
          <w:p>
            <w:pPr>
              <w:spacing w:line="360" w:lineRule="exact"/>
              <w:ind w:firstLine="525" w:firstLineChars="250"/>
              <w:jc w:val="left"/>
              <w:rPr>
                <w:rFonts w:ascii="Times New Roman" w:hAnsi="Times New Roman"/>
              </w:rPr>
            </w:pPr>
            <w:r>
              <w:rPr>
                <w:rFonts w:hint="eastAsia" w:ascii="Times New Roman" w:hAnsi="Times New Roman"/>
              </w:rPr>
              <w:t>1-3.《四川省水库大坝安全管理办法》第十六条：“水库大坝坝顶确需兼做公路的，必须进行科学论证，满足水库大坝安全运行要求，并报经水库大坝主管部门批准，申请大坝兼做公路的单位应采取相应的安全加固措施并承担日常维护费用。申请大坝兼做公路的单位应向水库大坝主管部门提交以下材料：（一）水库大坝安全复核评价报告及鉴定报告书；（二）过坝交通限载规定及坝顶设施相关构筑物维修养护责任书；（三）依法应当提交的其他材料。水库大坝主管部门应当自收到申报材料之日起10个工作日内，转告有关部门分别提出意见；有关部门应当自收到转报材料之日起15个工作日内予以回复；水库大坝主管部门自收到回复意见之日起25个工作日内统一进行审查，对符合条件的，做出批准的书面决定；对不符合条件的，做出不予批准的书面决定并说明理由。”</w:t>
            </w:r>
          </w:p>
          <w:p>
            <w:pPr>
              <w:spacing w:line="360" w:lineRule="exact"/>
              <w:ind w:firstLine="525" w:firstLineChars="25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《水库大坝安全管理条例》、《四川省水库大坝安全管理办法》、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表2-154</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水利工程可行性研究报告审查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政府投资条例》第九条：“政府采取直接投资方式、资本金注入方式投资的项目（以下统称政府投资项目），项目单位应当编制项目建议书、可行性研究报告、初步设计，按照政府投资管理权限和规定的程序，报投资主管部门或者其他有关部门审批。 项目单位应当加强政府投资项目的前期工作，保证前期工作的深度达到规定的要求，并对项目建议书、可行性研究报告、初步设计以及依法应当附具的其他文件的真实性负责。”</w:t>
            </w:r>
          </w:p>
          <w:p>
            <w:pPr>
              <w:widowControl/>
              <w:shd w:val="clear" w:color="auto" w:fill="FFFFFF"/>
              <w:spacing w:line="360" w:lineRule="exact"/>
              <w:jc w:val="left"/>
              <w:rPr>
                <w:rFonts w:ascii="Times New Roman" w:hAnsi="Times New Roman"/>
              </w:rPr>
            </w:pPr>
            <w:r>
              <w:rPr>
                <w:rFonts w:hint="eastAsia" w:ascii="Times New Roman" w:hAnsi="Times New Roman"/>
              </w:rPr>
              <w:t>2. 《水利工程建设项目管理规定（试行）》第十条：“水利是国民经济的基础设施和基础产业。水利工程建设要严格按建设程序进行。水利工程建设程序一般分为：项目建议书、可行性研究报告、初步设计、施工准备（包括招标设计）、建设实施、生产准备、竣工验收、后评价等阶段。”</w:t>
            </w:r>
          </w:p>
          <w:p>
            <w:pPr>
              <w:widowControl/>
              <w:shd w:val="clear" w:color="auto" w:fill="FFFFFF"/>
              <w:spacing w:line="360" w:lineRule="exact"/>
              <w:jc w:val="left"/>
              <w:rPr>
                <w:rFonts w:ascii="Times New Roman" w:hAnsi="Times New Roman"/>
              </w:rPr>
            </w:pPr>
            <w:r>
              <w:rPr>
                <w:rFonts w:hint="eastAsia" w:ascii="Times New Roman" w:hAnsi="Times New Roman"/>
              </w:rPr>
              <w:t>3. 《水利工程建设程序管理暂行规定》第五条：“1.可行性研究应对项目进行方案比较，在技术上是否可行和经济上是否合理进行科学的分析和论证。经过批准的可行性研究报告，是项目决策和进行初步设计的依据。可行性研究报告，由项目法人（或筹备机构）组织编制。 2.可行性研究报告应按照《水利水电工程可行性研究报告编制规程》（电力部、水利部电办[1993]112号）编制。 3.可行性研究报告，按国家现行规定的审批权限报批。申报项目可行性研究报告，必须同时提出项目法人组建方案及运行机制、资金筹措方案、资金结构及回收资金的办法。 4.可行性研究报告经批准后，不得随意修改和变更，在主要内容上有重要变动，应经原批准机关复审同意。项目可行性报告批准后，应正式成立项目法人，并按项目法人责任制实行项目管理。”</w:t>
            </w:r>
          </w:p>
          <w:p>
            <w:pPr>
              <w:widowControl/>
              <w:shd w:val="clear" w:color="auto" w:fill="FFFFFF"/>
              <w:spacing w:line="360" w:lineRule="exact"/>
              <w:jc w:val="left"/>
              <w:rPr>
                <w:rFonts w:ascii="Times New Roman" w:hAnsi="Times New Roman"/>
              </w:rPr>
            </w:pPr>
            <w:r>
              <w:rPr>
                <w:rFonts w:hint="eastAsia" w:ascii="Times New Roman" w:hAnsi="Times New Roman"/>
              </w:rPr>
              <w:t>4.《四川省水利工程管理条例》第十八条：“水利工程建设单位应当按照管理权限和相关规定将水利工程建设方案报经水行政主管部门审查批准，涉及其他审批事项的按照国家和省相关规定办理报批手续。”</w:t>
            </w:r>
          </w:p>
          <w:p>
            <w:pPr>
              <w:widowControl/>
              <w:shd w:val="clear" w:color="auto" w:fill="FFFFFF"/>
              <w:spacing w:line="360" w:lineRule="exact"/>
              <w:jc w:val="left"/>
              <w:rPr>
                <w:rFonts w:ascii="Times New Roman" w:hAnsi="Times New Roman"/>
              </w:rPr>
            </w:pPr>
            <w:r>
              <w:rPr>
                <w:rFonts w:hint="eastAsia" w:ascii="Times New Roman" w:hAnsi="Times New Roman"/>
              </w:rPr>
              <w:t>5.《四川省水利厅主要职责内设机构和人员编制规定》第三条：“拟订水利战略规划，组织编制重大水利综合规划、专业规划和专项规划；指导城市供水的水源规划；审核重大水利建设项目的项目建议书、可行性研究报告；负责水工程建设项目合规性审查；承担水利综合统计工作。负责水利科技工作；拟订水利行业的地方技术标准、规程规范并监督实施；组织水利科技项目研究，新技术引进、推广和管理工作；承办有关知识产权事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-2.《政府投资条例》第九条：“政府采取直接投资方式、资本金注入方式投资的项目（以下统称政府投资项目），项目单位应当编制项目建议书、可行性研究报告、初步设计，按照政府投资管理权限和规定的程序，报投资主管部门或者其他有关部门审批。 项目单位应当加强政府投资项目的前期工作，保证前期工作的深度达到规定的要求，并对项目建议书、可行性研究报告、初步设计以及依法应当附具的其他文件的真实性负责。”</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1-3. 《水利工程建设项目管理规定（试行）》第十条：“水利是国民经济的基础设施和基础产业。水利工程建设要严格按建设程序进行。水利工程建设程序一般分为：项目建议书、可行性研究报告、初步设计、施工准备（包括招标设计）、建设实施、生产准备、竣工验收、后评价等阶段。”</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1-4. 《水利工程建设程序管理暂行规定》第五条：“1.可行性研究应对项目进行方案比较，在技术上是否可行和经济上是否合理进行科学的分析和论证。经过批准的可行性研究报告，是项目决策和进行初步设计的依据。可行性研究报告，由项目法人（或筹备机构）组织编制。 2.可行性研究报告应按照《水利水电工程可行性研究报告编制规程》（电力部、水利部电办[1993]112号）编制。 3.可行性研究报告，按国家现行规定的审批权限报批。申报项目可行性研究报告，必须同时提出项目法人组建方案及运行机制、资金筹措方案、资金结构及回收资金的办法。 4.可行性研究报告经批准后，不得随意修改和变更，在主要内容上有重要变动，应经原批准机关复审同意。项目可行性报告批准后，应正式成立项目法人，并按项目法人责任制实行项目管理。”</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1-5.《四川省水利工程管理条例》第十八条：“水利工程建设单位应当按照管理权限和相关规定将水利工程建设方案报经水行政主管部门审查批准，涉及其他审批事项的按照国家和省相关规定办理报批手续。”</w:t>
            </w:r>
          </w:p>
          <w:p>
            <w:pPr>
              <w:spacing w:line="360" w:lineRule="exact"/>
              <w:ind w:firstLine="525" w:firstLineChars="250"/>
              <w:jc w:val="left"/>
              <w:rPr>
                <w:rFonts w:ascii="Times New Roman" w:hAnsi="Times New Roman"/>
                <w:szCs w:val="21"/>
              </w:rPr>
            </w:pPr>
            <w:r>
              <w:rPr>
                <w:rFonts w:hint="eastAsia" w:ascii="Times New Roman" w:hAnsi="Times New Roman"/>
              </w:rPr>
              <w:t xml:space="preserve">1-6.《四川省水利厅主要职责内设机构和人员编制规定》第三条：“拟订水利战略规划，组织编制重大水利综合规划、专业规划和专项规划；指导城市供水的水源规划；审核重大水利建设项目的项目建议书、可行性研究报告；负责水工程建设项目合规性审查；承担水利综合统计工作。负责水利科技工作；拟订水利行业的地方技术标准、规程规范并监督实施；组织水利科技项目研究，新技术引进、推广和管理工作；承办有关知识产权事宜工作。”       </w:t>
            </w: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《政府投资条例》、《水利工程建设项目管理规定（试行）》、《水利工程建设程序管理暂行规定》、《四川省水利工程管理条例》、《四川省水利厅主要职责内设机构和人员编制规定》、</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表2-155</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取水许可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水法》第七条：“国家对水资源依法实行取水许可制度和有偿使用制度。”第四十八条：“直接从江河、湖泊或者地下取用水资源的单位和个人，应当按照国家取水许可制度和水资源有偿使用制度的规定，向水行政主管部门或者流域管理机构申请领取取水许可证，并缴纳水资源费，取得取水权。”</w:t>
            </w:r>
          </w:p>
          <w:p>
            <w:pPr>
              <w:widowControl/>
              <w:shd w:val="clear" w:color="auto" w:fill="FFFFFF"/>
              <w:spacing w:line="360" w:lineRule="exact"/>
              <w:jc w:val="left"/>
              <w:rPr>
                <w:rFonts w:ascii="Times New Roman" w:hAnsi="Times New Roman"/>
              </w:rPr>
            </w:pPr>
            <w:r>
              <w:rPr>
                <w:rFonts w:hint="eastAsia" w:ascii="Times New Roman" w:hAnsi="Times New Roman"/>
              </w:rPr>
              <w:t>2. 《取水许可管理办法》第三条：“县级以上地方人民政府水行政主管部门按照省、自治区、直辖市人民政府规定的分级管理权限，负责本行政区域内取水许可制度的组织实施和监督管理。”</w:t>
            </w:r>
          </w:p>
          <w:p>
            <w:pPr>
              <w:widowControl/>
              <w:shd w:val="clear" w:color="auto" w:fill="FFFFFF"/>
              <w:spacing w:line="360" w:lineRule="exact"/>
              <w:jc w:val="left"/>
              <w:rPr>
                <w:rFonts w:ascii="Times New Roman" w:hAnsi="Times New Roman"/>
              </w:rPr>
            </w:pPr>
            <w:r>
              <w:rPr>
                <w:rFonts w:hint="eastAsia" w:ascii="Times New Roman" w:hAnsi="Times New Roman"/>
              </w:rPr>
              <w:t>3. 《取水许可和水资源费征收管理条例》第二条：“本条例所称取水，是指利用取水工程或者设施直接从江河、湖泊或者地下取用水资源。取用水资源的单位和个人，除本条例第四条规定的情形外，都应当申请领取取水许可证，并缴纳水资源费。”</w:t>
            </w:r>
          </w:p>
          <w:p>
            <w:pPr>
              <w:widowControl/>
              <w:shd w:val="clear" w:color="auto" w:fill="FFFFFF"/>
              <w:spacing w:line="360" w:lineRule="exact"/>
              <w:jc w:val="left"/>
              <w:rPr>
                <w:rFonts w:ascii="Times New Roman" w:hAnsi="Times New Roman"/>
              </w:rPr>
            </w:pPr>
            <w:r>
              <w:rPr>
                <w:rFonts w:hint="eastAsia" w:ascii="Times New Roman" w:hAnsi="Times New Roman"/>
              </w:rPr>
              <w:t>4.《</w:t>
            </w:r>
            <w:r>
              <w:rPr>
                <w:rFonts w:hint="eastAsia" w:ascii="Times New Roman" w:hAnsi="Times New Roman"/>
              </w:rPr>
              <w:tab/>
            </w:r>
            <w:r>
              <w:rPr>
                <w:rFonts w:hint="eastAsia" w:ascii="Times New Roman" w:hAnsi="Times New Roman"/>
              </w:rPr>
              <w:t>四川省取水许可和水资源费征收管理办法》第二条：“在本省行政区域内，单位或者个人利用闸、坝、渠道、人工河道、虹吸管、水泵、水井、水电站等取水工程或者设施，直接从江河、湖泊、水库或者地下取用水资源的，应当办理取水许可证并缴纳水资源费。法律、法规另有规定的，从其规定。直接取用其他取水单位或者个人的退水或者排水的，应当办理取水许可证并缴纳水资源费。” 第十条第二款：“市（州）、县（市、 区）人民政府水行政主管部门的水资源分级管理权限， 由市（州）人民政府制定， 报省水行政主管部门备案。”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-2.《中华人民共和国水法》第七条：“国家对水资源依法实行取水许可制度和有偿使用制度。”第四十八条：“直接从江河、湖泊或者地下取用水资源的单位和个人，应当按照国家取水许可制度和水资源有偿使用制度的规定，向水行政主管部门或者流域管理机构申请领取取水许可证，并缴纳水资源费，取得取水权。”</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1-3. 《取水许可管理办法》第三条：“县级以上地方人民政府水行政主管部门按照省、自治区、直辖市人民政府规定的分级管理权限，负责本行政区域内取水许可制度的组织实施和监督管理。”</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1-4. 《取水许可和水资源费征收管理条例》第二条：“本条例所称取水，是指利用取水工程或者设施直接从江河、湖泊或者地下取用水资源。取用水资源的单位和个人，除本条例第四条规定的情形外，都应当申请领取取水许可证，并缴纳水资源费。”</w:t>
            </w:r>
          </w:p>
          <w:p>
            <w:pPr>
              <w:spacing w:line="360" w:lineRule="exact"/>
              <w:ind w:firstLine="525" w:firstLineChars="250"/>
              <w:jc w:val="left"/>
              <w:rPr>
                <w:rFonts w:ascii="Times New Roman" w:hAnsi="Times New Roman"/>
              </w:rPr>
            </w:pPr>
            <w:r>
              <w:rPr>
                <w:rFonts w:hint="eastAsia" w:ascii="Times New Roman" w:hAnsi="Times New Roman"/>
              </w:rPr>
              <w:t>1-5.《四川省取水许可和水资源费征收管理办法》第二条：“在本省行政区域内，单位或者个人利用闸、坝、渠道、人工河道、虹吸管、水泵、水井、水电站等取水工程或者设施，直接从江河、湖泊、水库或者地下取用水资源的，应当办理取水许可证并缴纳水资源费。法律、法规另有规定的，从其规定。直接取用其他取水单位或者个人的退水或者排水的，应当办理取水许可证并缴纳水资源费。”第十条第二款：“市（州）、县（市、 区）人民政府水行政主管部门的水资源分级管理权限， 由市（州）人民政府制定， 报省水行政主管部门备案。”</w:t>
            </w:r>
          </w:p>
          <w:p>
            <w:pPr>
              <w:spacing w:line="360" w:lineRule="exact"/>
              <w:ind w:firstLine="525" w:firstLineChars="250"/>
              <w:jc w:val="left"/>
              <w:rPr>
                <w:rFonts w:ascii="Times New Roman" w:hAnsi="Times New Roman"/>
                <w:szCs w:val="21"/>
              </w:rPr>
            </w:pPr>
            <w:r>
              <w:rPr>
                <w:rFonts w:hint="eastAsia" w:ascii="Times New Roman" w:hAnsi="Times New Roman"/>
              </w:rPr>
              <w:t xml:space="preserve"> </w:t>
            </w: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《中华人民共和国水法》、《取水许可管理办法》、《取水许可和水资源费征收管理条例》、《四川省取水许可和水资源费征收管理办法》、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表2-156</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城镇污水排入排水管网许可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城镇排水与污水处理条例》第二十一条：“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排水户应当按照污水排入排水管网许可证的要求排放污水。”</w:t>
            </w:r>
          </w:p>
          <w:p>
            <w:pPr>
              <w:widowControl/>
              <w:shd w:val="clear" w:color="auto" w:fill="FFFFFF"/>
              <w:spacing w:line="360" w:lineRule="exact"/>
              <w:jc w:val="left"/>
              <w:rPr>
                <w:rFonts w:ascii="Times New Roman" w:hAnsi="Times New Roman"/>
              </w:rPr>
            </w:pPr>
            <w:r>
              <w:rPr>
                <w:rFonts w:hint="eastAsia" w:ascii="Times New Roman" w:hAnsi="Times New Roman"/>
              </w:rPr>
              <w:t>2.《城镇污水排入排水管网许可管理办法》第四条第一款：“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pPr>
              <w:widowControl/>
              <w:shd w:val="clear" w:color="auto" w:fill="FFFFFF"/>
              <w:spacing w:line="360" w:lineRule="exact"/>
              <w:jc w:val="left"/>
              <w:rPr>
                <w:rFonts w:ascii="Times New Roman" w:hAnsi="Times New Roman"/>
              </w:rPr>
            </w:pPr>
            <w:r>
              <w:rPr>
                <w:rFonts w:hint="eastAsia" w:ascii="Times New Roman" w:hAnsi="Times New Roman"/>
              </w:rPr>
              <w:t>3.《四川省城市排水管理条例》第十五条：“从事工业、建筑、餐饮、医疗等活动的企业事业单位、个体工商户（以下称排水户）向城镇排水设施排放污水的，应当按照国家规定向所在地的城镇排水主管部门申请领取污水排入排水管网许可证（以下称排水许可证），按照排水许可证要求排放污水，接受所在地的城镇排水主管部门的监督管理。 施工作业需排水的，建设单位应当修建预处理设施，按排水许可证要求排放污水，其排水许可证的有效期不得超过施工期限。 列入重点排污单位名录的排水户安装的水污染物排放自动监测设备，应当与生态环境主管部门的监控设备联网，并保证监测设备正常运行。生态环境主管部门应当将监测数据与城镇排水主管部门共享。”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-2.《城镇排水与污水处理条例》第二十一条：“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排水户应当按照污水排入排水管网许可证的要求排放污水。”</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-3.《城镇污水排入排水管网许可管理办法》第四条第一款：“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pPr>
              <w:spacing w:line="360" w:lineRule="exact"/>
              <w:ind w:firstLine="525" w:firstLineChars="250"/>
              <w:jc w:val="left"/>
              <w:rPr>
                <w:rFonts w:ascii="Times New Roman" w:hAnsi="Times New Roman"/>
                <w:szCs w:val="21"/>
              </w:rPr>
            </w:pPr>
            <w:r>
              <w:rPr>
                <w:rFonts w:hint="eastAsia" w:ascii="Times New Roman" w:hAnsi="Times New Roman"/>
              </w:rPr>
              <w:t xml:space="preserve">1-4.《四川省城市排水管理条例》第十五条：“从事工业、建筑、餐饮、医疗等活动的企业事业单位、个体工商户（以下称排水户）向城镇排水设施排放污水的，应当按照国家规定向所在地的城镇排水主管部门申请领取污水排入排水管网许可证（以下称排水许可证），按照排水许可证要求排放污水，接受所在地的城镇排水主管部门的监督管理。 施工作业需排水的，建设单位应当修建预处理设施，按排水许可证要求排放污水，其排水许可证的有效期不得超过施工期限。 列入重点排污单位名录的排水户安装的水污染物排放自动监测设备，应当与生态环境主管部门的监控设备联网，并保证监测设备正常运行。生态环境主管部门应当将监测数据与城镇排水主管部门共享。” </w:t>
            </w: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《城镇排水与污水处理条例》、《城镇污水排入排水管网许可管理办法》、《四川省城市排水管理条例》、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表2-157</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社会团体成立、变更、注销登记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《社会团体登记管理条例》(1998年10月25日中华人民共和国国务院令第250号发布　根据2016年2月6日《国务院关于修改部分行政法规的决定》修订)第六条第一款：“国务院民政部门和县级以上地方各级人民政府民政部门是本级人民政府的社会团体登记管理机关。” 第七条：“全国性的社会团体，由国务院的登记管理机关负责登记管理;地方性的社会团体，由所在地人民政府的登记管理机关负责登记管理;跨行政区域的社会团体，由所跨行政区域的共同上一级人民政府的登记管理机关负责登记管理。” 第九条：“申请成立社会团体，应当经其业务主管单位审查同意，由发起人向登记管理机关申请登记。筹备期间不得开展筹备以外的活动。” 第十二条：“登记管理机关应当自收到本条例第十一条所列全部有效文件之日起60日内，作出准予或者不予登记的决定。准予登记的，发给《社会团体法人登记证书》;不予登记的，应当向发起人说明理由。社会团体登记事项包括：名称、住所、宗旨、业务范围、活动地域、法定代表人、活动资金和业务主管单位。社会团体的法定代表人，不得同时担任其他社会团体的法定代表人。” 第十八条：“社会团体的登记事项需要变更的，应当自业务主管单位审查同意之日起30日内，向登记管理机关申请变更登记。社会团体修改章程，应当自业务主管单位审查同意之日起30日内，报登记管理机关核准。” 第二十一条：“社会团体应当自清算结束之日起15日内向登记管理机关办理注销登记。办理注销登记，应当提交法定代表人签署的注销登记申请书、业务主管单位的审查文件和清算报告书。登记管理机关准予注销登记的，发给注销证明文件，收缴该社会团体的登记证书、印章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line="360" w:lineRule="exact"/>
              <w:ind w:firstLine="525" w:firstLineChars="250"/>
              <w:jc w:val="left"/>
              <w:rPr>
                <w:rFonts w:ascii="Times New Roman" w:hAnsi="Times New Roman"/>
              </w:rPr>
            </w:pPr>
            <w:r>
              <w:rPr>
                <w:rFonts w:hint="eastAsia" w:ascii="Times New Roman" w:hAnsi="Times New Roman"/>
              </w:rPr>
              <w:t>1-2.《社会团体登记管理条例》(1998年10月25日中华人民共和国国务院令第250号发布　根据2016年2月6日《国务院关于修改部分行政法规的决定》修订)第六条第一款：“国务院民政部门和县级以上地方各级人民政府民政部门是本级人民政府的社会团体登记管理机关。”第十一条：“申请登记社会团体，发起人应当向登记管理机关提交下列文件：(一)登记申请书;</w:t>
            </w:r>
          </w:p>
          <w:p>
            <w:pPr>
              <w:widowControl/>
              <w:shd w:val="clear" w:color="auto" w:fill="FFFFFF"/>
              <w:spacing w:line="360" w:lineRule="exact"/>
              <w:jc w:val="left"/>
              <w:rPr>
                <w:rFonts w:ascii="Times New Roman" w:hAnsi="Times New Roman"/>
              </w:rPr>
            </w:pPr>
            <w:r>
              <w:rPr>
                <w:rFonts w:hint="eastAsia" w:ascii="Times New Roman" w:hAnsi="Times New Roman"/>
              </w:rPr>
              <w:t>(二)业务主管单位的批准文件;(三)验资报告、场所使用权证明;(四)发起人和拟任负责人的基本情况、身份证明;(五)章程草案。”</w:t>
            </w:r>
          </w:p>
          <w:p>
            <w:pPr>
              <w:spacing w:line="360" w:lineRule="exact"/>
              <w:ind w:firstLine="525" w:firstLineChars="250"/>
              <w:jc w:val="left"/>
              <w:rPr>
                <w:rFonts w:ascii="Times New Roman" w:hAnsi="Times New Roman"/>
                <w:szCs w:val="21"/>
              </w:rPr>
            </w:pPr>
            <w:r>
              <w:rPr>
                <w:rFonts w:hint="eastAsia" w:ascii="Times New Roman" w:hAnsi="Times New Roman"/>
              </w:rPr>
              <w:t xml:space="preserve"> </w:t>
            </w: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3-2.</w:t>
            </w:r>
            <w:r>
              <w:rPr>
                <w:rFonts w:hint="eastAsia" w:ascii="Times New Roman" w:hAnsi="Times New Roman"/>
              </w:rPr>
              <w:t xml:space="preserve"> </w:t>
            </w:r>
            <w:r>
              <w:rPr>
                <w:rFonts w:hint="eastAsia" w:ascii="Times New Roman" w:hAnsi="Times New Roman"/>
                <w:szCs w:val="21"/>
              </w:rPr>
              <w:t>《社会团体登记管理条例》(1998年10月25日中华人民共和国国务院令第250号发布　根据2016年2月6日《国务院关于修改部分行政法规的决定》修订)第十二条：“登记管理机关应当自收到本条例第十一条所列全部有效文件之日起60日内，作出准予或者不予登记的决定。准予登记的，发给《社会团体法人登记证书》;不予登记的，应当向发起人说明理由。社会团体登记事项包括：名称、住所、宗旨、业务范围、活动地域、法定代表人、活动资金和业务主管单位。社会团体的法定代表人，不得同时担任其他社会团体的法定代表人。” 第十八条：“社会团体的登记事项需要变更的，应当自业务主管单位审查同意之日起30日内，向登记管理机关申请变更登记。社会团体修改章程，应当自业务主管单位审查同意之日起30日内，报登记管理机关核准。” 第二十一条：“社会团体应当自清算结束之日起15日内向登记管理机关办理注销登记。办理注销登记，应当提交法定代表人签署的注销登记申请书、业务主管单位的审查文件和清算报告书。登记管理机关准予注销登记的，发给注销证明文件，收缴该社会团体的登记证书、印章和财务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《社会团体登记管理条例》、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表2-158</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民办非企业单位成立、变更、注销登记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民办非企业单位登记管理暂行条例》第五条第一款：“国务院民政部门和县级以上地方各级人民政府民政部门是本级人民政府的民办非企业单位登记管理机关。”第六条：“登记管理机关负责同级业务主管单位审查同意的民办非企业单位的登记管理。”第十五条：“民办非企业单位的登记事项需要变更的，应当自业务主管单位审查同意之日起３０日内，向登记管理机关申请变更登记。民办非企业单位修改章程，应当自业务主管单位审查同意之日起３０日内，报登记管理机关核准。”第十六条：“民办非企业单位自行解散的，分立、合并的，或者由于其他原因需要注销登记的，应当向登记管理机关办理注销登记。民办非企业单位在办理注销登记前，应当在业务主管单位和其他有关机关的指导下，成立清算组织，完成清算工作。清算期间，民办非企业单位不得开展清算以外的活动。”第十七条：“民办非企业单位法定代表人或者负责人应当自完成清算之日起１５日内，向登记管理机关办理注销登记。办理注销登记，须提交注销登记申请书、业务主管单位的审查文件和清算报告。登记管理机关准予注销登记的，发给注销证明文件，收缴登记证书、印章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525" w:firstLineChars="250"/>
              <w:jc w:val="left"/>
              <w:rPr>
                <w:rFonts w:ascii="Times New Roman" w:hAnsi="Times New Roman"/>
              </w:rPr>
            </w:pPr>
            <w:r>
              <w:rPr>
                <w:rFonts w:hint="eastAsia" w:ascii="Times New Roman" w:hAnsi="Times New Roman"/>
              </w:rPr>
              <w:t>1-2.《民办非企业单位登记管理暂行条例》第五条第一款：“国务院民政部门和县级以上地方各级人民政府民政部门是本级人民政府的民办非企业单位登记管理机关。” 第九条：“申请民办非企业单位登记，举办者应当向登记管理机关提交下列文件：（一）登记申请书；（二）业务主管单位的批准文件；（三）场所使用权证明；（四）验资报告；（五）拟任负责人的基本情况、身份证明；（六）章程草案。”</w:t>
            </w:r>
          </w:p>
          <w:p>
            <w:pPr>
              <w:spacing w:line="360" w:lineRule="exact"/>
              <w:ind w:firstLine="525" w:firstLineChars="250"/>
              <w:jc w:val="left"/>
              <w:rPr>
                <w:rFonts w:ascii="Times New Roman" w:hAnsi="Times New Roman"/>
                <w:szCs w:val="21"/>
              </w:rPr>
            </w:pPr>
            <w:r>
              <w:rPr>
                <w:rFonts w:hint="eastAsia" w:ascii="Times New Roman" w:hAnsi="Times New Roman"/>
              </w:rPr>
              <w:t xml:space="preserve"> </w:t>
            </w: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3-2.</w:t>
            </w:r>
            <w:r>
              <w:rPr>
                <w:rFonts w:hint="eastAsia" w:ascii="Times New Roman" w:hAnsi="Times New Roman"/>
              </w:rPr>
              <w:t xml:space="preserve"> </w:t>
            </w:r>
            <w:r>
              <w:rPr>
                <w:rFonts w:hint="eastAsia" w:ascii="Times New Roman" w:hAnsi="Times New Roman"/>
                <w:szCs w:val="21"/>
              </w:rPr>
              <w:t>《民办非企业单位登记管理暂行条例》第十五条：“民办非企业单位的登记事项需要变更的，应当自业务主管单位审查同意之日起３０日内，向登记管理机关申请变更登记。民办非企业单位修改章程，应当自业务主管单位审查同意之日起３０日内，报登记管理机关核准。”第十六条：“民办非企业单位自行解散的，分立、合并的，或者由于其他原因需要注销登记的，应当向登记管理机关办理注销登记。民办非企业单位在办理注销登记前，应当在业务主管单位和其他有关机关的指导下，成立清算组织，完成清算工作。清算期间，民办非企业单位不得开展清算以外的活动。”第十七条：“民办非企业单位法定代表人或者负责人应当自完成清算之日起１５日内，向登记管理机关办理注销登记。办理注销登记，须提交注销登记申请书、业务主管单位的审查文件和清算报告。登记管理机关准予注销登记的，发给注销证明文件，收缴登记证书、印章和财务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《民办非企业单位登记管理暂行条例》、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表2-159</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社会团体修改章程核准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 xml:space="preserve">《社会团体登记管理条例》(1998年10月25日中华人民共和国国务院令第250号发布　根据2016年2月6日《国务院关于修改部分行政法规的决定》修订)第十八条：“社会团体的登记事项需要变更的，应当自业务主管单位审查同意之日起30日内，向登记管理机关申请变更登记。社会团体修改章程，应当自业务主管单位审查同意之日起30日内，报登记管理机关核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525" w:firstLineChars="250"/>
              <w:jc w:val="left"/>
              <w:rPr>
                <w:rFonts w:ascii="Times New Roman" w:hAnsi="Times New Roman"/>
              </w:rPr>
            </w:pPr>
            <w:r>
              <w:rPr>
                <w:rFonts w:hint="eastAsia" w:ascii="Times New Roman" w:hAnsi="Times New Roman"/>
              </w:rPr>
              <w:t xml:space="preserve">1-2.《社会团体登记管理条例》(1998年10月25日中华人民共和国国务院令第250号发布　根据2016年2月6日《国务院关于修改部分行政法规的决定》修订)第十八条：“社会团体的登记事项需要变更的，应当自业务主管单位审查同意之日起30日内，向登记管理机关申请变更登记。社会团体修改章程，应当自业务主管单位审查同意之日起30日内，报登记管理机关核准。” </w:t>
            </w:r>
          </w:p>
          <w:p>
            <w:pPr>
              <w:spacing w:line="360" w:lineRule="exact"/>
              <w:ind w:firstLine="525" w:firstLineChars="25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525" w:firstLineChars="250"/>
              <w:jc w:val="left"/>
              <w:rPr>
                <w:rFonts w:ascii="Times New Roman" w:hAnsi="Times New Roman"/>
                <w:szCs w:val="21"/>
              </w:rPr>
            </w:pPr>
            <w:r>
              <w:rPr>
                <w:rFonts w:hint="eastAsia" w:ascii="Times New Roman" w:hAnsi="Times New Roman"/>
                <w:szCs w:val="21"/>
              </w:rPr>
              <w:t>2-2.</w:t>
            </w:r>
            <w:r>
              <w:rPr>
                <w:rFonts w:hint="eastAsia" w:ascii="Times New Roman" w:hAnsi="Times New Roman"/>
              </w:rPr>
              <w:t xml:space="preserve"> </w:t>
            </w:r>
            <w:r>
              <w:rPr>
                <w:rFonts w:hint="eastAsia" w:ascii="Times New Roman" w:hAnsi="Times New Roman"/>
                <w:szCs w:val="21"/>
              </w:rPr>
              <w:t>《社会团体登记管理条例》(1998年10月25日中华人民共和国国务院令第250号发布　根据2016年2月6日《国务院关于修改部分行政法规的决定》修订)</w:t>
            </w:r>
            <w:r>
              <w:rPr>
                <w:rFonts w:hint="eastAsia" w:ascii="Times New Roman" w:hAnsi="Times New Roman"/>
              </w:rPr>
              <w:t xml:space="preserve"> </w:t>
            </w:r>
            <w:r>
              <w:rPr>
                <w:rFonts w:hint="eastAsia" w:ascii="Times New Roman" w:hAnsi="Times New Roman"/>
                <w:szCs w:val="21"/>
              </w:rPr>
              <w:t>第十四条：“社会团体的章程应当包括下列事项：(一)名称、住所;(二)宗旨、业务范围和活动地域;(三)会员资格及其权利、义务;</w:t>
            </w:r>
          </w:p>
          <w:p>
            <w:pPr>
              <w:spacing w:line="360" w:lineRule="exact"/>
              <w:jc w:val="left"/>
              <w:rPr>
                <w:rFonts w:ascii="Times New Roman" w:hAnsi="Times New Roman"/>
                <w:szCs w:val="21"/>
              </w:rPr>
            </w:pPr>
            <w:r>
              <w:rPr>
                <w:rFonts w:hint="eastAsia" w:ascii="Times New Roman" w:hAnsi="Times New Roman"/>
                <w:szCs w:val="21"/>
              </w:rPr>
              <w:t>(四)民主的组织管理制度，执行机构的产生程序;(五)负责人的条件和产生、罢免的程序;(六)资产管理和使用的原则;(七)章程的修改程序;(八)终止程序和终止后资产的处理;(九)应当由章程规定的其他事项。”</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3-2.</w:t>
            </w:r>
            <w:r>
              <w:rPr>
                <w:rFonts w:hint="eastAsia" w:ascii="Times New Roman" w:hAnsi="Times New Roman"/>
              </w:rPr>
              <w:t xml:space="preserve"> </w:t>
            </w:r>
            <w:r>
              <w:rPr>
                <w:rFonts w:hint="eastAsia" w:ascii="Times New Roman" w:hAnsi="Times New Roman"/>
                <w:szCs w:val="21"/>
              </w:rPr>
              <w:t>《社会团体登记管理条例》(1998年10月25日中华人民共和国国务院令第250号发布　根据2016年2月6日《国务院关于修改部分行政法规的决定》修订) 第十八条：“社会团体的登记事项需要变更的，应当自业务主管单位审查同意之日起30日内，向登记管理机关申请变更登记。社会团体修改章程，应当自业务主管单位审查同意之日起30日内，报登记管理机关核准。”</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《社会团体登记管理条例》、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表2-160</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民办非企业单位修改章程核准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 xml:space="preserve">《民办非企业单位登记管理暂行条例》第十五条：“民办非企业单位的登记事项需要变更的，应当自业务主管单位审查同意之日起３０日内，向登记管理机关申请变更登记。民办非企业单位修改章程，应当自业务主管单位审查同意之日起３０日内，报登记管理机关核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525" w:firstLineChars="250"/>
              <w:jc w:val="left"/>
              <w:rPr>
                <w:rFonts w:ascii="Times New Roman" w:hAnsi="Times New Roman"/>
              </w:rPr>
            </w:pPr>
            <w:r>
              <w:rPr>
                <w:rFonts w:hint="eastAsia" w:ascii="Times New Roman" w:hAnsi="Times New Roman"/>
              </w:rPr>
              <w:t>1-2.《民办非企业单位登记管理暂行条例》第十五条：“民办非企业单位的登记事项需要变更的，应当自业务主管单位审查同意之日起３０日内，向登记管理机关申请变更登记。民办非企业单位修改章程，应当自业务主管单位审查同意之日起３０日内，报登记管理机关核准。”</w:t>
            </w:r>
          </w:p>
          <w:p>
            <w:pPr>
              <w:spacing w:line="360" w:lineRule="exact"/>
              <w:ind w:firstLine="525" w:firstLineChars="250"/>
              <w:jc w:val="left"/>
              <w:rPr>
                <w:rFonts w:ascii="Times New Roman" w:hAnsi="Times New Roman"/>
                <w:szCs w:val="21"/>
              </w:rPr>
            </w:pPr>
            <w:r>
              <w:rPr>
                <w:rFonts w:hint="eastAsia" w:ascii="Times New Roman" w:hAnsi="Times New Roman"/>
              </w:rPr>
              <w:t xml:space="preserve"> </w:t>
            </w: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rPr>
            </w:pPr>
            <w:r>
              <w:rPr>
                <w:rFonts w:hint="eastAsia" w:ascii="Times New Roman" w:hAnsi="Times New Roman"/>
                <w:szCs w:val="21"/>
              </w:rPr>
              <w:t>2-2.</w:t>
            </w:r>
            <w:r>
              <w:rPr>
                <w:rFonts w:hint="eastAsia" w:ascii="Times New Roman" w:hAnsi="Times New Roman"/>
              </w:rPr>
              <w:t xml:space="preserve"> 《民办非企业单位登记管理暂行条例》第十条：“民办非企业单位的章程应当包括下列事项：（一）名称、住所；（二）宗旨和业务范围；（三）组织管理制度；（四）法定代表人或者负责人的产生、罢免的程序；（五）资产管理和使用的原则；（六）章程的修改程序；（七）终止程序和终止后资产的处理；（八）需要由章程规定的其他事项。”</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3-2.《民办非企业单位登记管理暂行条例》第十五条：“民办非企业单位的登记事项需要变更的，应当自业务主管单位审查同意之日起３０日内，向登记管理机关申请变更登记。民办非企业单位修改章程，应当自业务主管单位审查同意之日起３０日内，报登记管理机关核准。”</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《民办非企业单位登记管理暂行条例》、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表2-161</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民办职业培训学校设立、分立、合并、变更及终止审批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民办教育促进法》第十二条：“举办实施学历教育、学前教育、自学考试助学及其他文化教育的民办学校，由县级以上人民政府教育行政部门按照国家规定的权限审批;举办实施以职业技能为主的职业资格培训、职业技能培训的民办学校，由县级以上人民政府人力资源社会保障行政部门按照国家规定的权限审批，并抄送同级教育行政部门备案。”第十七条：“申请正式设立民办学校的，审批机关应当自受理之日起三个月内以书面形式作出是否批准的决定，并送达申请人;其中申请正式设立民办高等学校的，审批机关也可以自受理之日起六个月内以书面形式作出是否批准的决定，并送达申请人。”第五十三条：“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第五十四条：“民办学校举办者的变更，须由举办者提出，在进行财务清算后，经学校理事会或者董事会同意，报审批机关核准。”第五十五条：“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第五十六条：“民办学校有下列情形之一的，应当终止:(一)根据学校章程规定要求终止，并经审批机关批准的;(二)被吊销办学许可证的;</w:t>
            </w:r>
          </w:p>
          <w:p>
            <w:pPr>
              <w:widowControl/>
              <w:shd w:val="clear" w:color="auto" w:fill="FFFFFF"/>
              <w:spacing w:line="360" w:lineRule="exact"/>
              <w:jc w:val="left"/>
              <w:rPr>
                <w:rFonts w:ascii="Times New Roman" w:hAnsi="Times New Roman"/>
              </w:rPr>
            </w:pPr>
            <w:r>
              <w:rPr>
                <w:rFonts w:hint="eastAsia" w:ascii="Times New Roman" w:hAnsi="Times New Roman"/>
              </w:rPr>
              <w:t>(三)因资不抵债无法继续办学的。”第五十七条：“民办学校终止时，应当妥善安置在校学生。实施义务教育的民办学校终止时，审批机关应当协助学校安排学生继续就学。”第五十八条：“民办学校终止时，应当依法进行财务清算。民办学校自己要求终止的，由民办学校组织清算;被审批机关依法撤销的，由审批机关组织清算;因资不抵债无法继续办学而被终止的，由人民法院组织清算。”第五十九条：“对民办学校的财产按照下列顺序清偿:(一)应退受教育者学费、杂费和其他费用;(二)应发教职工的工资及应缴纳的社会保险费用;</w:t>
            </w:r>
          </w:p>
          <w:p>
            <w:pPr>
              <w:widowControl/>
              <w:shd w:val="clear" w:color="auto" w:fill="FFFFFF"/>
              <w:spacing w:line="360" w:lineRule="exact"/>
              <w:jc w:val="left"/>
              <w:rPr>
                <w:rFonts w:ascii="Times New Roman" w:hAnsi="Times New Roman"/>
              </w:rPr>
            </w:pPr>
            <w:r>
              <w:rPr>
                <w:rFonts w:hint="eastAsia" w:ascii="Times New Roman" w:hAnsi="Times New Roman"/>
              </w:rPr>
              <w:t>(三)偿还其他债务。非营利性民办学校清偿上述债务后的剩余财产继续用于其他非营利性学校办学;营利性民办学校清偿上述债务后的剩余财产，依照公司法的有关规定处理。”第六十条：“终止的民办学校，由审批机关收回办学许可证和销毁印章，并注销登记。”</w:t>
            </w:r>
          </w:p>
          <w:p>
            <w:pPr>
              <w:widowControl/>
              <w:shd w:val="clear" w:color="auto" w:fill="FFFFFF"/>
              <w:spacing w:line="360" w:lineRule="exact"/>
              <w:jc w:val="left"/>
              <w:rPr>
                <w:rFonts w:ascii="Times New Roman" w:hAnsi="Times New Roman"/>
              </w:rPr>
            </w:pPr>
            <w:r>
              <w:rPr>
                <w:rFonts w:hint="eastAsia" w:ascii="Times New Roman" w:hAnsi="Times New Roman"/>
              </w:rPr>
              <w:t>2. 《中华人民共和国民办教育促进法实施条例》第十一条：“设立民办学校的审批权限，依照有关法律、法规的规定执行。”</w:t>
            </w:r>
          </w:p>
          <w:p>
            <w:pPr>
              <w:widowControl/>
              <w:shd w:val="clear" w:color="auto" w:fill="FFFFFF"/>
              <w:spacing w:line="360" w:lineRule="exact"/>
              <w:jc w:val="left"/>
              <w:rPr>
                <w:rFonts w:ascii="Times New Roman" w:hAnsi="Times New Roman"/>
              </w:rPr>
            </w:pPr>
            <w:r>
              <w:rPr>
                <w:rFonts w:hint="eastAsia" w:ascii="Times New Roman" w:hAnsi="Times New Roman"/>
              </w:rPr>
              <w:t>3. 《劳动和社会保障部关于贯彻落实&lt;民办教育促进法&gt;做好民办职业培训工作的通知》附件《民办职业培训学校设置标准（试行）》</w:t>
            </w:r>
          </w:p>
          <w:p>
            <w:pPr>
              <w:widowControl/>
              <w:shd w:val="clear" w:color="auto" w:fill="FFFFFF"/>
              <w:spacing w:line="360" w:lineRule="exact"/>
              <w:jc w:val="left"/>
              <w:rPr>
                <w:rFonts w:ascii="Times New Roman" w:hAnsi="Times New Roman"/>
              </w:rPr>
            </w:pPr>
            <w:r>
              <w:rPr>
                <w:rFonts w:hint="eastAsia" w:ascii="Times New Roman" w:hAnsi="Times New Roman"/>
              </w:rPr>
              <w:t>4. 四川省人民政府《关于取消和下放第三批行政审批项目的决定》附件2下放管理层级的行政审批项目目录（共35项）第3项</w:t>
            </w:r>
          </w:p>
          <w:p>
            <w:pPr>
              <w:widowControl/>
              <w:shd w:val="clear" w:color="auto" w:fill="FFFFFF"/>
              <w:spacing w:line="360" w:lineRule="exact"/>
              <w:jc w:val="left"/>
              <w:rPr>
                <w:rFonts w:ascii="Times New Roman" w:hAnsi="Times New Roman"/>
              </w:rPr>
            </w:pPr>
            <w:r>
              <w:rPr>
                <w:rFonts w:hint="eastAsia" w:ascii="Times New Roman" w:hAnsi="Times New Roman"/>
              </w:rPr>
              <w:t>5. 四川省人力资源和社会保障厅《关于做好省政府下放第三批行政审批项目衔接工作的通知》：“（三）民办职业培训学校审批1.实施国家职业资格三级（高级）职业资格培训、职业技能培训的民办职业培训学校的设立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525" w:firstLineChars="250"/>
              <w:jc w:val="left"/>
              <w:rPr>
                <w:rFonts w:ascii="Times New Roman" w:hAnsi="Times New Roman"/>
                <w:szCs w:val="21"/>
              </w:rPr>
            </w:pPr>
            <w:r>
              <w:rPr>
                <w:rFonts w:hint="eastAsia" w:ascii="Times New Roman" w:hAnsi="Times New Roman"/>
              </w:rPr>
              <w:t xml:space="preserve">1-2. 《中华人民共和国民办教育促进法》第十二条：“举办实施学历教育、学前教育、自学考试助学及其他文化教育的民办学校，由县级以上人民政府教育行政部门按照国家规定的权限审批;举办实施以职业技能为主的职业资格培训、职业技能培训的民办学校，由县级以上人民政府人力资源社会保障行政部门按照国家规定的权限审批，并抄送同级教育行政部门备案。”      </w:t>
            </w: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rPr>
            </w:pPr>
            <w:r>
              <w:rPr>
                <w:rFonts w:hint="eastAsia" w:ascii="Times New Roman" w:hAnsi="Times New Roman"/>
                <w:szCs w:val="21"/>
              </w:rPr>
              <w:t>2-2.</w:t>
            </w:r>
            <w:r>
              <w:rPr>
                <w:rFonts w:hint="eastAsia" w:ascii="Times New Roman" w:hAnsi="Times New Roman"/>
              </w:rPr>
              <w:t>《中华人民共和国民办教育促进法》第十五条：“申请正式设立民办学校的，举办者应当向审批机关提交下列材料:(一)筹设批准书;(二)筹设情况报告;(三)学校章程、首届学校理事会、董事会或者其他决策机构组成人员名单;(四)学校资产的有效证明文件;(五)校长、教师、财会人员的资格证明文件。”</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3-2.</w:t>
            </w:r>
            <w:r>
              <w:rPr>
                <w:rFonts w:hint="eastAsia" w:ascii="Times New Roman" w:hAnsi="Times New Roman"/>
              </w:rPr>
              <w:t xml:space="preserve"> </w:t>
            </w:r>
            <w:r>
              <w:rPr>
                <w:rFonts w:hint="eastAsia" w:ascii="Times New Roman" w:hAnsi="Times New Roman"/>
                <w:szCs w:val="21"/>
              </w:rPr>
              <w:t>《中华人民共和国民办教育促进法》第十七条：“申请正式设立民办学校的，审批机关应当自受理之日起三个月内以书面形式作出是否批准的决定，并送达申请人;其中申请正式设立民办高等学校的，审批机关也可以自受理之日起六个月内以书面形式作出是否批准的决定，并送达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《中华人民共和国民办教育促进法》、《中华人民共和国民办教育促进法实施条例》、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表2-162</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经营性人力资源服务机构从事职业中介活动许可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w:t>
            </w:r>
            <w:r>
              <w:rPr>
                <w:rFonts w:hint="eastAsia" w:ascii="Times New Roman" w:hAnsi="Times New Roman"/>
              </w:rPr>
              <w:tab/>
            </w:r>
            <w:r>
              <w:rPr>
                <w:rFonts w:hint="eastAsia" w:ascii="Times New Roman" w:hAnsi="Times New Roman"/>
              </w:rPr>
              <w:t>人力资源市场暂行条例》第十八条第一款：“经营性人力资源服务机构从事职业中介活动的，应当依法向人力资源社会保障行政部门申请行政许可，取得人力资源服务许可证。”</w:t>
            </w:r>
          </w:p>
          <w:p>
            <w:pPr>
              <w:widowControl/>
              <w:shd w:val="clear" w:color="auto" w:fill="FFFFFF"/>
              <w:spacing w:line="360" w:lineRule="exact"/>
              <w:jc w:val="left"/>
              <w:rPr>
                <w:rFonts w:ascii="Times New Roman" w:hAnsi="Times New Roman"/>
              </w:rPr>
            </w:pPr>
            <w:r>
              <w:rPr>
                <w:rFonts w:hint="eastAsia" w:ascii="Times New Roman" w:hAnsi="Times New Roman"/>
              </w:rPr>
              <w:t>2. 《四川省人力资源和社会保障厅关于做好人力资源服务行政许可及备案管理有关工作的通知》第一条第（一）项：“行政许可的业务范围。经营性人力资源服务机构从事职业中介活动的，应当依法向所在地市（州）、县（市、区）人力资源社会保障行政部门申请行政许可，取得人力资源服务许可证。职业中介活动是指为用人单位招用人员和劳动者求职提供中介服务以及其他相关服务的活动，包括为劳动者介绍用人单位、为用人单位推荐劳动者、为用人单位和个人提供职业信息介绍服务、根据国家有关规定从事互联网人力资源信息服务、组织开展现场招聘会、开展网络招聘、开展高级人才寻访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525" w:firstLineChars="250"/>
              <w:jc w:val="left"/>
              <w:rPr>
                <w:rFonts w:ascii="Times New Roman" w:hAnsi="Times New Roman"/>
              </w:rPr>
            </w:pPr>
            <w:r>
              <w:rPr>
                <w:rFonts w:hint="eastAsia" w:ascii="Times New Roman" w:hAnsi="Times New Roman"/>
              </w:rPr>
              <w:t xml:space="preserve">1-2. 《四川省人力资源和社会保障厅关于做好人力资源服务行政许可及备案管理有关工作的通知》第一条第（一）项：“行政许可的业务范围。经营性人力资源服务机构从事职业中介活动的，应当依法向所在地市（州）、县（市、区）人力资源社会保障行政部门申请行政许可，取得人力资源服务许可证。”     </w:t>
            </w:r>
          </w:p>
          <w:p>
            <w:pPr>
              <w:spacing w:line="360" w:lineRule="exact"/>
              <w:ind w:firstLine="525" w:firstLineChars="25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3-2.《人力资源市场暂行条例》第十九条：“人力资源社会保障行政部门应当自收到经营性人力资源服务机构从事职业中介活动的申请之日起20日内依法作出行政许可决定。符合条件的，颁发人力资源服务许可证；不符合条件的，作出不予批准的书面决定并说明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《人力资源市场暂行条例》、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表2-163</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劳务派遣经营许可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劳务派遣行政许可实施办法》（人力资源社会保障部第10次部务会审议通过，自2013年7月1日起施行）第三条：“人力资源社会保障部负责对全国的劳务派遣行政许可工作进行监督指导。县级以上地方人力资源社会保障行政部门按照省、自治区、直辖市人力资源社会保障行政部门确定的许可管辖分工，负责实施本行政区域内劳务派遣行政许可工作以及相关的监督检查。”　第六条：“经营劳务派遣业务，应当向所在地有许可管辖权的人力资源社会保障行政部门（以下称许可机关）依法申请行政许可。未经许可，任何单位和个人不得经营劳务派遣业务。”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525" w:firstLineChars="250"/>
              <w:jc w:val="left"/>
              <w:rPr>
                <w:rFonts w:ascii="Times New Roman" w:hAnsi="Times New Roman"/>
              </w:rPr>
            </w:pPr>
            <w:r>
              <w:rPr>
                <w:rFonts w:hint="eastAsia" w:ascii="Times New Roman" w:hAnsi="Times New Roman"/>
              </w:rPr>
              <w:t>1-2.《劳务派遣行政许可实施办法》（人力资源社会保障部第10次部务会审议通过，自2013年7月1日起施行）第八条：“申请经营劳务派遣业务的，申请人应当向许可机关提交下列材料：（一）劳务派遣经营许可申请书；（二）营业执照或者《企业名称预先核准通知书》；（三）公司章程以及验资机构出具的验资报告或者财务审计报告；（四）经营场所的使用证明以及与开展业务相适应的办公设施设备、信息管理系统等清单；（五）法定代表人的身份证明；（六）劳务派遣管理制度，包括劳动合同、劳动报酬、社会保险、工作时间、休息休假、劳动纪律等与劳动者切身利益相关的规章制度文本；拟与用工单位签订的劳务派遣协议样本。”第九条：“许可机关收到申请材料后，应当根据下列情况分别作出处理：（一）申请材料存在可以当场更正的错误的，应当允许申请人当场更正；（二）申请材料不齐全或者不符合法定形式的，应当当场或者在5个工作日内一次告知申请人需要补正的全部内容，逾期不告知的，自收到申请材料之日起即为受理；（三）申请材料齐全、符合法定形式，或者申请人按照要求提交了全部补正申请材料的，应当受理行政许可申请。”第十条：“许可机关对申请人提出的申请决定受理的，应当出具《受理决定书》；决定不予受理的，应当出具《不予受理决定书》，说明不予受理的理由，并告知申请人享有依法申请行政复议或者提起行政诉讼的权利。”</w:t>
            </w:r>
          </w:p>
          <w:p>
            <w:pPr>
              <w:spacing w:line="360" w:lineRule="exact"/>
              <w:ind w:firstLine="525" w:firstLineChars="25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525" w:firstLineChars="250"/>
              <w:jc w:val="left"/>
              <w:rPr>
                <w:rFonts w:ascii="Times New Roman" w:hAnsi="Times New Roman"/>
              </w:rPr>
            </w:pPr>
            <w:r>
              <w:rPr>
                <w:rFonts w:hint="eastAsia" w:ascii="Times New Roman" w:hAnsi="Times New Roman"/>
              </w:rPr>
              <w:t>2-2.《劳务派遣行政许可实施办法》（人力资源社会保障部第10次部务会审议通过，自2013年7月1日起施行）第十一条：“许可机关决定受理申请的，应当对申请人提交的申请材料进行审查。根据法定条件和程序，需要对申请材料的实质内容进行核实的，许可机关应当指派2名以上工作人员进行核查。”</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3-2.</w:t>
            </w:r>
            <w:r>
              <w:rPr>
                <w:rFonts w:hint="eastAsia" w:ascii="Times New Roman" w:hAnsi="Times New Roman"/>
              </w:rPr>
              <w:t xml:space="preserve"> </w:t>
            </w:r>
            <w:r>
              <w:rPr>
                <w:rFonts w:hint="eastAsia" w:ascii="Times New Roman" w:hAnsi="Times New Roman"/>
                <w:szCs w:val="21"/>
              </w:rPr>
              <w:t>《劳务派遣行政许可实施办法》（人力资源社会保障部第10次部务会审议通过，自2013年7月1日起施行）第十二条：“许可机关应当自受理之日起20个工作日内作出是否准予行政许可的决定。20个工作日内不能作出决定的，经本行政机关负责人批准，可以延长10个工作日，并应当将延长期限的理由告知申请人。”第十三条：“申请人的申请符合法定条件的，许可机关应当依法作出准予行政许可的书面决定，并自作出决定之日起5个工作日内通知申请人领取《劳务派遣经营许可证》。申请人的申请不符合法定条件的，许可机关应当依法作出不予行政许可的书面决定，说明不予行政许可的理由，并告知申请人享有依法申请行政复议或者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《劳务派遣行政许可实施办法》、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szCs w:val="21"/>
        </w:rPr>
      </w:pPr>
      <w:r>
        <w:rPr>
          <w:rFonts w:ascii="Times New Roman" w:hAnsi="Times New Roman"/>
          <w:szCs w:val="21"/>
        </w:rPr>
        <w:br w:type="page"/>
      </w:r>
    </w:p>
    <w:p>
      <w:pPr>
        <w:pStyle w:val="3"/>
        <w:spacing w:line="360" w:lineRule="exact"/>
        <w:rPr>
          <w:rFonts w:ascii="Times New Roman" w:hAnsi="Times New Roman"/>
          <w:sz w:val="24"/>
        </w:rPr>
      </w:pPr>
      <w:r>
        <w:rPr>
          <w:rFonts w:hint="eastAsia" w:ascii="Times New Roman" w:hAnsi="Times New Roman"/>
        </w:rPr>
        <w:t>表2-164</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地方企业实行不定时工作制和综合计算工时工作制审批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 《中华人民共和国劳动法》第三十九条：“企业因生产特点不能实行本法第三十六条、第三十八条规定的，经劳动行政部门批准，可以实行其他工作和休息办法。”</w:t>
            </w:r>
          </w:p>
          <w:p>
            <w:pPr>
              <w:widowControl/>
              <w:shd w:val="clear" w:color="auto" w:fill="FFFFFF"/>
              <w:spacing w:line="360" w:lineRule="exact"/>
              <w:jc w:val="left"/>
              <w:rPr>
                <w:rFonts w:ascii="Times New Roman" w:hAnsi="Times New Roman"/>
              </w:rPr>
            </w:pPr>
            <w:r>
              <w:rPr>
                <w:rFonts w:hint="eastAsia" w:ascii="Times New Roman" w:hAnsi="Times New Roman"/>
              </w:rPr>
              <w:t>2. 《关于企业实行不定时工作制和综合计算工时工作制的审批办法》第三条：“ 企业因生产特点不能实行《中华人民共和国劳动法》第三十六条、第三十八条规定的，可以实行不定时工作制或综合计算工时工作制等其他工作和休息办法。”第七条：“中央直属企业实行不定时工作制和综合计算工时工作制等其他工作和休息办法的，经国务院行业主管部门审核，报国务院劳动行政部门批准。地方企业实行不定时工作制和综合计算工时工作制等其他工作和休息办法的审批办法，由各省、自治区、直辖市人民政府劳动行政部门制定，报国务院劳动行政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b/>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525" w:firstLineChars="250"/>
              <w:jc w:val="left"/>
              <w:rPr>
                <w:rFonts w:ascii="Times New Roman" w:hAnsi="Times New Roman"/>
              </w:rPr>
            </w:pPr>
            <w:r>
              <w:rPr>
                <w:rFonts w:hint="eastAsia" w:ascii="Times New Roman" w:hAnsi="Times New Roman"/>
              </w:rPr>
              <w:t>1-2.《中华人民共和国劳动法》第三十九条：“企业因生产特点不能实行本法第三十六条、第三十八条规定的，经劳动行政部门批准，可以实行其他工作和休息办法。”</w:t>
            </w:r>
          </w:p>
          <w:p>
            <w:pPr>
              <w:spacing w:line="360" w:lineRule="exact"/>
              <w:ind w:firstLine="525" w:firstLineChars="250"/>
              <w:jc w:val="left"/>
              <w:rPr>
                <w:rFonts w:ascii="Times New Roman" w:hAnsi="Times New Roman"/>
              </w:rPr>
            </w:pPr>
            <w:r>
              <w:rPr>
                <w:rFonts w:hint="eastAsia" w:ascii="Times New Roman" w:hAnsi="Times New Roman"/>
              </w:rPr>
              <w:t>1-3.《关于企业实行不定时工作制和综合计算工时工作制的审批办法》第三条：“ 企业因生产特点不能实行《中华人民共和国劳动法》第三十六条、第三十八条规定的，可以实行不定时工作制或综合计算工时工作制等其他工作和休息办法。”第七条：“中央直属企业实行不定时工作制和综合计算工时工作制等其他工作和休息办法的，经国务院行业主管部门审核，报国务院劳动行政部门批准。地方企业实行不定时工作制和综合计算工时工作制等其他工作和休息办法的审批办法，由各省、自治区、直辖市人民政府劳动行政部门制定，报国务院劳动行政部门备案。”</w:t>
            </w:r>
          </w:p>
          <w:p>
            <w:pPr>
              <w:spacing w:line="360" w:lineRule="exact"/>
              <w:ind w:firstLine="525" w:firstLineChars="25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《中华人民共和国劳动法》、《关于企业实行不定时工作制和综合计算工时工作制的审批办法》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szCs w:val="21"/>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表2-165</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Arial"/>
                <w:szCs w:val="21"/>
                <w:shd w:val="clear" w:color="auto" w:fill="FFFFFF"/>
              </w:rPr>
              <w:t>县级广播电台、电视台变更台名、节目设置范围或节目套数审批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1.《广播电视管理条例》（1997年8月11日国务院令第228号）第十三条：“广播电台、电视台变更台名、节目设置范围或者节目套数，省级以上人民政府广播电视行政部门设立的广播电台、电视台或者省级以上人民政府教育行政部门设立的电视台变更台标的，应当经国务院广播电视行政部门批准。”</w:t>
            </w:r>
          </w:p>
          <w:p>
            <w:pPr>
              <w:widowControl/>
              <w:shd w:val="clear" w:color="auto" w:fill="FFFFFF"/>
              <w:spacing w:line="360" w:lineRule="exact"/>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2、《广播电台电视台审批管理办法》（2004年8月18日国家广播电影电视总局令第37号）第七条：“中央级广播电台、电视台的设立、合并和相关事项变更，直接报广电总局审批。地方级广播电台、电视台的设立和变更，由本级广播电视行政部门向上级广播电视行政部门提出申请，逐级审核后，报广电总局审批。教育电视台的设立、合并和相关事项的变更，由设区的市、自治州以上教育行政部门征得同级广播电视行政部门同意后，向上级教育行政部门提出申请，逐级审核后，经国务院教育行政部门审核同意，报广电总局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left="420" w:leftChars="200"/>
              <w:rPr>
                <w:rFonts w:ascii="Times New Roman" w:hAnsi="Times New Roman"/>
                <w:szCs w:val="21"/>
              </w:rPr>
            </w:pPr>
            <w:r>
              <w:rPr>
                <w:rFonts w:hint="eastAsia" w:ascii="Times New Roman" w:hAnsi="Times New Roman"/>
                <w:szCs w:val="21"/>
              </w:rPr>
              <w:t>2.审查责任：对申请人提交的申请材料进行审查，报送上级主管部门。3.其他责任：法律法规规章文件规定应履行的其他责任。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rPr>
                <w:rFonts w:ascii="Times New Roman" w:hAnsi="Times New Roman"/>
                <w:szCs w:val="21"/>
              </w:rPr>
            </w:pPr>
            <w:r>
              <w:rPr>
                <w:rFonts w:hint="eastAsia" w:ascii="Times New Roman" w:hAnsi="Times New Roman"/>
                <w:szCs w:val="21"/>
              </w:rPr>
              <w:t>1-2.《广播电视管理条例》（1997年8月11日国务院令第228号）第十三条：“广播电台、电视台变更台名、节目设置范围或者节目套数，省级以上人民政府广播电视行政部门设立的广播电台、电视台或者省级以上人民政府教育行政部门设立的电视台变更台标的，应当经国务院广播电视行政部门批准。”</w:t>
            </w:r>
          </w:p>
          <w:p>
            <w:pPr>
              <w:spacing w:line="360" w:lineRule="exact"/>
              <w:ind w:firstLine="420" w:firstLineChars="200"/>
              <w:jc w:val="left"/>
              <w:rPr>
                <w:rFonts w:ascii="Times New Roman" w:hAnsi="Times New Roman"/>
                <w:szCs w:val="21"/>
              </w:rPr>
            </w:pPr>
            <w:r>
              <w:rPr>
                <w:rFonts w:hint="eastAsia" w:ascii="Times New Roman" w:hAnsi="Times New Roman"/>
                <w:szCs w:val="21"/>
              </w:rPr>
              <w:t>1-3.《广播电台电视台审批管理办法》（2004年8月18日国家广播电影电视总局令第37号）第七条：“中央级广播电台、电视台的设立、合并和相关事项变更，直接报广电总局审批。地方级广播电台、电视台的设立和变更，由本级广播电视行政部门向上级广播电视行政部门提出申请，逐级审核后，报广电总局审批。教育电视台的设立、合并和相关事项的变更，由设区的市、自治州以上教育行政部门征得同级广播电视行政部门同意后，向上级教育行政部门提出申请，逐级审核后，经国务院教育行政部门审核同意，报广电总局审批。”</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 </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4.成都市成华区人民政府关于印发《成华区相对集中行政许可权改革工作实施方案》的通知（成华府发〔2019〕3号）。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cs="Arial"/>
                <w:szCs w:val="21"/>
                <w:shd w:val="clear" w:color="auto" w:fill="FFFFFF"/>
              </w:rPr>
              <w:t>《广播电视管理条例》</w:t>
            </w:r>
            <w:r>
              <w:rPr>
                <w:rFonts w:hint="eastAsia" w:ascii="Times New Roman" w:hAnsi="Times New Roman"/>
                <w:szCs w:val="21"/>
              </w:rPr>
              <w:t>、《广播电台电视台审批管理办法》、</w:t>
            </w:r>
            <w:r>
              <w:rPr>
                <w:rFonts w:ascii="Times New Roman" w:hAnsi="Times New Roman"/>
                <w:szCs w:val="21"/>
              </w:rPr>
              <w:t>《行政机关公务员处分条例》、《四川省行政审批违法违纪行为责任追究办法》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widowControl/>
        <w:spacing w:line="360" w:lineRule="exact"/>
        <w:ind w:firstLine="480" w:firstLineChars="200"/>
        <w:jc w:val="left"/>
        <w:rPr>
          <w:rFonts w:ascii="Times New Roman" w:hAnsi="Times New Roman"/>
          <w:sz w:val="24"/>
        </w:rPr>
      </w:pPr>
    </w:p>
    <w:p>
      <w:pPr>
        <w:widowControl/>
        <w:spacing w:line="360" w:lineRule="exact"/>
        <w:jc w:val="left"/>
        <w:rPr>
          <w:rFonts w:ascii="Times New Roman" w:hAnsi="Times New Roman"/>
          <w:sz w:val="24"/>
        </w:rPr>
      </w:pPr>
      <w:r>
        <w:rPr>
          <w:rFonts w:ascii="Times New Roman" w:hAnsi="Times New Roman"/>
          <w:sz w:val="24"/>
        </w:rPr>
        <w:br w:type="page"/>
      </w:r>
    </w:p>
    <w:p>
      <w:pPr>
        <w:pStyle w:val="3"/>
        <w:spacing w:line="360" w:lineRule="exact"/>
        <w:rPr>
          <w:rFonts w:ascii="Times New Roman" w:hAnsi="Times New Roman"/>
        </w:rPr>
      </w:pPr>
      <w:r>
        <w:rPr>
          <w:rFonts w:hint="eastAsia" w:ascii="Times New Roman" w:hAnsi="Times New Roman"/>
        </w:rPr>
        <w:t>表2-166</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音像制品零售经营单位许可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kern w:val="0"/>
                <w:szCs w:val="21"/>
              </w:rPr>
            </w:pPr>
            <w:r>
              <w:rPr>
                <w:rFonts w:hint="eastAsia" w:ascii="Times New Roman" w:hAnsi="Times New Roman"/>
                <w:szCs w:val="21"/>
              </w:rPr>
              <w:t>《音像制品管理条例》(2001年12月25日中华人民共和国国务院令第341号公布　根据2011年3月19日《国务院关于修改〈音像制品管理条例〉的决定》第一次修订 根据2013年12月07日《国务院关于修改部分行政法规的决定》第二次修订 根据 2016年2月6日《国务院关于修改部分行政法规的决定》第三次修订)</w:t>
            </w:r>
            <w:r>
              <w:rPr>
                <w:rFonts w:hint="eastAsia" w:ascii="Times New Roman" w:hAnsi="Times New Roman"/>
                <w:kern w:val="0"/>
                <w:szCs w:val="21"/>
              </w:rPr>
              <w:t xml:space="preserve"> 第五条：“国家对出版、制作、复制、进口、批发、零售音像制品，实行许可制度;未经许可，任何单位和个人不得从事音像制品的出版、制作、复制、进口、批发、零售等活动。依照本条例发放的许可证和批准文件，不得出租、出借、出售或者以其他任何形式转让。”第三十二条：“申请从事音像制品批发业务，应当报所在地省、自治区、直辖市人民政府出版行政主管部门审批。申请从事音像制品零售业务，应当报县级地方人民政府出版行政主管部门审批。出版行政主管部门应当自受理申请书之日起30日内作出批准或者不批准的决定，并通知申请人。批准的，应当发给《出版物经营许可证》;不批准的，应当说明理由。《出版物经营许可证》应当注明音像制品经营活动的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hint="eastAsia" w:ascii="Times New Roman" w:hAnsi="Times New Roman"/>
              </w:rPr>
              <w:t xml:space="preserve"> </w:t>
            </w:r>
            <w:r>
              <w:rPr>
                <w:rFonts w:hint="eastAsia" w:ascii="Times New Roman" w:hAnsi="Times New Roman"/>
                <w:szCs w:val="21"/>
              </w:rPr>
              <w:t>《音像制品管理条例》(2001年12月25日中华人民共和国国务院令第341号公布　根据2011年3月19日《国务院关于修改〈音像制品管理条例〉的决定》第一次修订 根据2013年12月07日《国务院关于修改部分行政法规的决定》第二次修订 根据 2016年2月6日《国务院关于修改部分行政法规的决定》第三次修订)第三十二条：“申请从事音像制品批发业务，应当报所在地省、自治区、直辖市人民政府出版行政主管部门审批。申请从事音像制品零售业务，应当报县级地方人民政府出版行政主管部门审批。出版行政主管部门应当自受理申请书之日起30日内作出批准或者不批准的决定，并通知申请人。批准的，应当发给《出版物经营许可证》;不批准的，应当说明理由。《出版物经营许可证》应当注明音像制品经营活动的种类。”</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2-2.</w:t>
            </w:r>
            <w:r>
              <w:rPr>
                <w:rFonts w:hint="eastAsia" w:ascii="Times New Roman" w:hAnsi="Times New Roman"/>
              </w:rPr>
              <w:t>《音像制品管理条例》(2001年12月25日中华人民共和国国务院令第341号公布　根据2011年3月19日《国务院关于修改〈音像制品管理条例〉的决定》第一次修订 根据2013年12月07日《国务院关于修改部分行政法规的决定》第二次修订 根据 2016年2月6日《国务院关于修改部分行政法规的决定》第三次修订)</w:t>
            </w:r>
            <w:r>
              <w:rPr>
                <w:rFonts w:hint="eastAsia" w:ascii="Times New Roman" w:hAnsi="Times New Roman"/>
                <w:szCs w:val="21"/>
              </w:rPr>
              <w:t>第三十一条：“申请从事音像制品批发、零售业务，应当具备下列条件：(一)有音像制品批发、零售单位的名称、章程;</w:t>
            </w:r>
          </w:p>
          <w:p>
            <w:pPr>
              <w:spacing w:line="360" w:lineRule="exact"/>
              <w:jc w:val="left"/>
              <w:rPr>
                <w:rFonts w:ascii="Times New Roman" w:hAnsi="Times New Roman"/>
                <w:szCs w:val="21"/>
              </w:rPr>
            </w:pPr>
            <w:r>
              <w:rPr>
                <w:rFonts w:hint="eastAsia" w:ascii="Times New Roman" w:hAnsi="Times New Roman"/>
                <w:szCs w:val="21"/>
              </w:rPr>
              <w:t>(二)有确定的业务范围;(三)有适应业务范围需要的组织机构和人员;(四)有适应业务范围需要的资金和场所;(五)法律、行政法规规定的其他条件。”</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《音像制品管理条例》、</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widowControl/>
        <w:spacing w:line="360" w:lineRule="exact"/>
        <w:ind w:firstLine="640" w:firstLineChars="200"/>
        <w:jc w:val="left"/>
        <w:rPr>
          <w:rFonts w:ascii="Times New Roman" w:hAnsi="Times New Roman" w:eastAsia="方正黑体简体"/>
          <w:kern w:val="0"/>
          <w:sz w:val="32"/>
          <w:szCs w:val="32"/>
        </w:rPr>
      </w:pPr>
    </w:p>
    <w:p>
      <w:pPr>
        <w:widowControl/>
        <w:spacing w:line="360" w:lineRule="exact"/>
        <w:jc w:val="left"/>
        <w:rPr>
          <w:rFonts w:ascii="Times New Roman" w:hAnsi="Times New Roman" w:eastAsia="方正黑体简体"/>
          <w:kern w:val="0"/>
          <w:sz w:val="32"/>
          <w:szCs w:val="32"/>
        </w:rPr>
      </w:pPr>
      <w:r>
        <w:rPr>
          <w:rFonts w:ascii="Times New Roman" w:hAnsi="Times New Roman" w:eastAsia="方正黑体简体"/>
          <w:kern w:val="0"/>
          <w:sz w:val="32"/>
          <w:szCs w:val="32"/>
        </w:rPr>
        <w:br w:type="page"/>
      </w:r>
    </w:p>
    <w:p>
      <w:pPr>
        <w:pStyle w:val="3"/>
        <w:spacing w:line="360" w:lineRule="exact"/>
        <w:rPr>
          <w:rFonts w:ascii="Times New Roman" w:hAnsi="Times New Roman"/>
        </w:rPr>
      </w:pPr>
      <w:r>
        <w:rPr>
          <w:rFonts w:hint="eastAsia" w:ascii="Times New Roman" w:hAnsi="Times New Roman"/>
        </w:rPr>
        <w:t>表2-167</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cs="宋体"/>
                <w:sz w:val="22"/>
              </w:rPr>
            </w:pPr>
            <w:r>
              <w:rPr>
                <w:rFonts w:hint="eastAsia" w:ascii="Times New Roman" w:hAnsi="Times New Roman"/>
                <w:sz w:val="22"/>
              </w:rPr>
              <w:t>行政确认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cs="宋体"/>
                <w:color w:val="FF0000"/>
                <w:sz w:val="22"/>
              </w:rPr>
            </w:pPr>
            <w:r>
              <w:rPr>
                <w:rFonts w:hint="eastAsia" w:ascii="Times New Roman" w:hAnsi="Times New Roman"/>
                <w:sz w:val="22"/>
              </w:rPr>
              <w:t>对民办教育机构重要事项变更的审核确认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1.《中华人民共和国民办教育促进法》第十二条 举办实施学历教育、学前教育、自学考试助学及其他文化教育的民办学校，由县级以上人民政府教育行政部门按照国家规定的权限审批;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4.送达责任：在规定期限内向申请人送达行政许可证件；建立信息档案；公开有关信息。</w:t>
            </w:r>
          </w:p>
          <w:p>
            <w:pPr>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widowControl/>
              <w:shd w:val="clear" w:color="auto" w:fill="FFFFFF"/>
              <w:spacing w:before="75" w:after="75" w:line="360" w:lineRule="exact"/>
              <w:ind w:left="75" w:right="75" w:firstLine="420" w:firstLineChars="200"/>
              <w:jc w:val="left"/>
              <w:rPr>
                <w:rFonts w:ascii="Times New Roman" w:hAnsi="Times New Roman"/>
                <w:szCs w:val="21"/>
              </w:rPr>
            </w:pPr>
            <w:r>
              <w:rPr>
                <w:rFonts w:hint="eastAsia" w:ascii="Times New Roman" w:hAnsi="Times New Roman"/>
                <w:szCs w:val="21"/>
              </w:rPr>
              <w:t>1-2.《中华人民共和国民办教育促进法》第十四条 审批机关应当自受理筹设民办学校的申请之日起三十日内以书面形式作出是否同意的决定。同意筹设的，发给筹设批准书。不同意筹设的，应当说明理由。第十七条 申请正式设立民办学校的，审批机关应当自受理之日起三个月内以书面形式作出是否批准的决定，并送达申请人;其中申请正式设立民办高等学校的，审批机关也可以自受理之日起六个月内以书面形式作出是否批准的决定，并送达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1-3.《中华人民共和国民办教育促进法实施条例》第十二条　民办学校举办者变更的，应当签订变更协议，但不得涉及学校的法人财产，也不得影响学校发展，不得损害师生权益；现有民办学校的举办者变更的，可以根据其依法享有的合法权益与继任举办者协议约定变更收益。民办学校的举办者不再具备法定条件的，应当在6个月内向审批机关提出变更；逾期不变更的，由审批机关责令变更。举办者变更，符合法定条件的，审批机关应当在规定的期限内予以办理。第十五条　设立民办学校的审批权限，依照有关法律、法规的规定执行。第二十三条　民办学校增设校区应当向审批机关申请地址变更；设立分校应当向分校所在地审批机关单独申请办学许可，并报原审批机关备案。地方人民政府及其有关部门应当依法履行实施义务教育的职责。设立实施义务教育的民办学校，应当符合当地义务教育发展规划。</w:t>
            </w:r>
          </w:p>
          <w:p>
            <w:pPr>
              <w:spacing w:line="360" w:lineRule="exact"/>
              <w:ind w:firstLine="420" w:firstLineChars="200"/>
              <w:jc w:val="left"/>
              <w:rPr>
                <w:rFonts w:ascii="Times New Roman" w:hAnsi="Times New Roman"/>
                <w:szCs w:val="21"/>
              </w:rPr>
            </w:pPr>
            <w:r>
              <w:rPr>
                <w:rFonts w:hint="eastAsia" w:ascii="Times New Roman" w:hAnsi="Times New Roman"/>
                <w:szCs w:val="21"/>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2-2.《中华人民共和国民办教育促进法》第十条 举办民办学校的社会组织，应当具有法人资格。举办民办学校的个人，应当具有政治权利和完全民事行为能力。民办学校应当具备法人条件。第十一条 设立民办学校应当符合当地教育发展的需求，具备教育法和其他有关法律、法规规定的条件。第十三条 申请筹设民办学校，举办者应当向审批机关提交下列材料：(一)申办报告，内容应当主要包括：举办者、培养目标、办学规模、办学层次、办学形式、办学条件、内部管理体制、经费筹措与管理使用等; (二)举办者的姓名、住址或者名称、地址;(三)资产来源、资金数额及有效证明文件，并载明产权;(四)属捐赠性质的校产须提交捐赠协议，载明捐赠人的姓名、所捐资产的数额、用途和管理方法及相关有效证明文件。第十六条 具备办学条件，达到设置标准的，可以直接申请正式设立，并应当提交本法第十三条和第十五条(三)、(四)、(五)项规定的材料。第二十四条 民办学校参照同级同类公办学校校长任职的条件聘任校长，年龄可以适当放宽。第八章 变更与终止 第五十三条 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第五十四条 民办学校举办者的变更，须由举办者提出，在进行财务清算后，经学校理事会或者董事会同意，报审批机关核准。第五十五条 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rPr>
                <w:rFonts w:ascii="Times New Roman" w:hAnsi="Times New Roman"/>
              </w:rPr>
            </w:pPr>
            <w:r>
              <w:rPr>
                <w:rFonts w:hint="eastAsia" w:ascii="Times New Roman" w:hAnsi="Times New Roman"/>
                <w:szCs w:val="21"/>
              </w:rPr>
              <w:t>3-3.《中华人民共和国民办教育促进法》第五十五条 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w:t>
            </w:r>
          </w:p>
          <w:p>
            <w:pPr>
              <w:widowControl/>
              <w:shd w:val="clear" w:color="auto" w:fill="FFFFFF"/>
              <w:spacing w:before="75" w:after="75" w:line="360" w:lineRule="exact"/>
              <w:ind w:left="75" w:right="75"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szCs w:val="21"/>
              </w:rPr>
              <w:t>《中华人民共和国体育法》、</w:t>
            </w:r>
            <w:r>
              <w:rPr>
                <w:rFonts w:ascii="Times New Roman" w:hAnsi="Times New Roman"/>
                <w:szCs w:val="21"/>
              </w:rPr>
              <w:t>《行政机关公务员处分条例》、</w:t>
            </w:r>
            <w:r>
              <w:rPr>
                <w:rFonts w:hint="eastAsia" w:ascii="Times New Roman" w:hAnsi="Times New Roman"/>
                <w:szCs w:val="21"/>
              </w:rPr>
              <w:t>《中华人民共和国民办教育促进法》、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widowControl/>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表2-168</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行政确认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公民民族成份变更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w:t>
            </w:r>
            <w:r>
              <w:rPr>
                <w:rFonts w:ascii="Times New Roman" w:hAnsi="Times New Roman"/>
                <w:szCs w:val="21"/>
              </w:rPr>
              <w:t>《</w:t>
            </w:r>
            <w:r>
              <w:rPr>
                <w:rFonts w:hint="eastAsia" w:ascii="Times New Roman" w:hAnsi="Times New Roman"/>
                <w:szCs w:val="21"/>
              </w:rPr>
              <w:t>中国公民民族成份登记管理办法</w:t>
            </w:r>
            <w:r>
              <w:rPr>
                <w:rFonts w:ascii="Times New Roman" w:hAnsi="Times New Roman"/>
                <w:szCs w:val="21"/>
              </w:rPr>
              <w:t>》</w:t>
            </w:r>
            <w:r>
              <w:rPr>
                <w:rFonts w:hint="eastAsia" w:ascii="Times New Roman" w:hAnsi="Times New Roman"/>
                <w:szCs w:val="21"/>
              </w:rPr>
              <w:t>（2015年5月20日，国家民委第5次委务会议审议通过，并经公安部同意，2015年6月16日中华人民共和国国家民族事务委员会、中华人民共和国公安部令第2号公布）第七条：“</w:t>
            </w:r>
            <w:r>
              <w:rPr>
                <w:rFonts w:ascii="Times New Roman" w:hAnsi="Times New Roman"/>
                <w:szCs w:val="21"/>
              </w:rPr>
              <w:t>公民民族成份经确认登记后，一般不得变更。未满十八周岁的公民，有下列情况之一的，可以申请变更其民族成份一次。(一)父母婚姻关系发生变化，其民族成份与直接抚养的一方不同的</w:t>
            </w:r>
            <w:r>
              <w:rPr>
                <w:rFonts w:hint="eastAsia" w:ascii="Times New Roman" w:hAnsi="Times New Roman"/>
                <w:szCs w:val="21"/>
              </w:rPr>
              <w:t>；</w:t>
            </w:r>
            <w:r>
              <w:rPr>
                <w:rFonts w:ascii="Times New Roman" w:hAnsi="Times New Roman"/>
                <w:szCs w:val="21"/>
              </w:rPr>
              <w:t>(二)父母婚姻关系发生变化，其民族成份与继父(母)的民族成份不同的</w:t>
            </w:r>
            <w:r>
              <w:rPr>
                <w:rFonts w:hint="eastAsia" w:ascii="Times New Roman" w:hAnsi="Times New Roman"/>
                <w:szCs w:val="21"/>
              </w:rPr>
              <w:t>；</w:t>
            </w:r>
            <w:r>
              <w:rPr>
                <w:rFonts w:ascii="Times New Roman" w:hAnsi="Times New Roman"/>
                <w:szCs w:val="21"/>
              </w:rPr>
              <w:t>(三)其民族成份与养父(母)的民族成份不同的。年满十八周岁的公民，在其年满十八周岁之日起的两年内，可以依据其父或者其母的民族成份申请变更一次。</w:t>
            </w:r>
            <w:r>
              <w:rPr>
                <w:rFonts w:hint="eastAsia" w:ascii="Times New Roman" w:hAnsi="Times New Roman"/>
                <w:szCs w:val="21"/>
              </w:rPr>
              <w:t xml:space="preserve">” </w:t>
            </w:r>
            <w:r>
              <w:rPr>
                <w:rFonts w:ascii="Times New Roman" w:hAnsi="Times New Roman"/>
                <w:szCs w:val="21"/>
              </w:rPr>
              <w:t>第十一条</w:t>
            </w:r>
            <w:r>
              <w:rPr>
                <w:rFonts w:hint="eastAsia" w:ascii="Times New Roman" w:hAnsi="Times New Roman"/>
                <w:szCs w:val="21"/>
              </w:rPr>
              <w:t>：“</w:t>
            </w:r>
            <w:r>
              <w:rPr>
                <w:rFonts w:ascii="Times New Roman" w:hAnsi="Times New Roman"/>
                <w:szCs w:val="21"/>
              </w:rPr>
              <w:t>申请变更民族成份，按照下列程序办理：(一)申请人向户籍所在地的县级人民政府民族事务部门提出申请</w:t>
            </w:r>
            <w:r>
              <w:rPr>
                <w:rFonts w:hint="eastAsia" w:ascii="Times New Roman" w:hAnsi="Times New Roman"/>
                <w:szCs w:val="21"/>
              </w:rPr>
              <w:t>；</w:t>
            </w:r>
            <w:r>
              <w:rPr>
                <w:rFonts w:ascii="Times New Roman" w:hAnsi="Times New Roman"/>
                <w:szCs w:val="21"/>
              </w:rPr>
              <w:t>(二)县级人民政府民族事务部门对变更申请提出初审意见，对不符合条件的申请予以退回，并书面说明不予受理的理由;对符合条件的申请，自受理之日起的十个工作日内报上一级人民政府民族事务部门审批。对于十个工作日内不能提出初审意见的，经县级人民政府民族事务部门负责人批准，可以延长十个工作日</w:t>
            </w:r>
            <w:r>
              <w:rPr>
                <w:rFonts w:hint="eastAsia" w:ascii="Times New Roman" w:hAnsi="Times New Roman"/>
                <w:szCs w:val="21"/>
              </w:rPr>
              <w:t>；</w:t>
            </w:r>
            <w:r>
              <w:rPr>
                <w:rFonts w:ascii="Times New Roman" w:hAnsi="Times New Roman"/>
                <w:szCs w:val="21"/>
              </w:rPr>
              <w:t>(三)上一级人民政府民族事务部门应当在收到审批申请之日起的十个工作日内，出具书面审批意见，并反馈给县级人民政府民族事务部门</w:t>
            </w:r>
            <w:r>
              <w:rPr>
                <w:rFonts w:hint="eastAsia" w:ascii="Times New Roman" w:hAnsi="Times New Roman"/>
                <w:szCs w:val="21"/>
              </w:rPr>
              <w:t>；</w:t>
            </w:r>
            <w:r>
              <w:rPr>
                <w:rFonts w:ascii="Times New Roman" w:hAnsi="Times New Roman"/>
                <w:szCs w:val="21"/>
              </w:rPr>
              <w:t>(四)县级人民政府民族事务部门应当在收到审批意见的十个工作日内，将审批意见告知申请人。审批同意的，并将审批意见、公民申请书及相关证明材料抄送县级人民政府公安部门</w:t>
            </w:r>
            <w:r>
              <w:rPr>
                <w:rFonts w:hint="eastAsia" w:ascii="Times New Roman" w:hAnsi="Times New Roman"/>
                <w:szCs w:val="21"/>
              </w:rPr>
              <w:t>；</w:t>
            </w:r>
            <w:r>
              <w:rPr>
                <w:rFonts w:ascii="Times New Roman" w:hAnsi="Times New Roman"/>
                <w:szCs w:val="21"/>
              </w:rPr>
              <w:t>(五)公安部门应当依据市级人民政府民族事务部门的审批意见，严格按照公民户籍主项信息变更的管理程序，在十五个工作日内办理公民民族成份变更登记。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w:t>
            </w:r>
            <w:r>
              <w:rPr>
                <w:rFonts w:hint="eastAsia" w:ascii="Times New Roman" w:hAnsi="Times New Roman"/>
                <w:szCs w:val="21"/>
              </w:rPr>
              <w:t>《中国公民民族成份登记管理办法》（2015年5月20日，国家民委第5次委务会议审议通过，并经公安部同意，2015年6月16日中华人民共和国国家民族事务委员会、中华人民共和国公安部令第2号公布）第七条：“公民民族成份经确认登记后，一般不得变更。未满十八周岁的公民，有下列情况之一的，可以申请变更其民族成份一次。(一)父母婚姻关系发生变化，其民族成份与直接抚养的一方不同的；(二)父母婚姻关系发生变化，其民族成份与继父(母)的民族成份不同的；(三)其民族成份与养父(母)的民族成份不同的。年满十八周岁的公民，在其年满十八周岁之日起的两年内，可以依据其父或者其母的民族成份申请变更一次。”</w:t>
            </w:r>
            <w:r>
              <w:rPr>
                <w:rFonts w:ascii="Times New Roman" w:hAnsi="Times New Roman" w:cs="Arial"/>
                <w:color w:val="333333"/>
                <w:kern w:val="0"/>
                <w:szCs w:val="21"/>
              </w:rPr>
              <w:t xml:space="preserve"> </w:t>
            </w:r>
            <w:r>
              <w:rPr>
                <w:rFonts w:ascii="Times New Roman" w:hAnsi="Times New Roman"/>
                <w:szCs w:val="21"/>
              </w:rPr>
              <w:t>第九条</w:t>
            </w:r>
            <w:r>
              <w:rPr>
                <w:rFonts w:hint="eastAsia" w:ascii="Times New Roman" w:hAnsi="Times New Roman"/>
                <w:szCs w:val="21"/>
              </w:rPr>
              <w:t>：“</w:t>
            </w:r>
            <w:r>
              <w:rPr>
                <w:rFonts w:ascii="Times New Roman" w:hAnsi="Times New Roman"/>
                <w:szCs w:val="21"/>
              </w:rPr>
              <w:t>未满十八周岁公民申请变更民族成份，需提交以下证明材料：(一)书面申请书;根据生父(母)的民族成份提出变更申请的，书面申请书应当由直接抚养的一方签署;根据养父(母)的民族成份提出变更申请的，书面申请书应当由公民养父母共同签署;根据继父(母)的民族成份提出变更申请的，书面申请书应当由与公民共同生活的生父(母)与继母(父)共同签署。申请之日公民已年满十六周岁的，申请人应当征求公民本人的意见。(二)公民本人的居民户口簿及公民的养(继)父(母)的居民户口簿、居民身份证;(三)依据生父(母)的民族成份申请变更的，需提供离婚证明;依据继父(母)的民族成份申请变更的，需提供生父(母)与继母(父)的婚姻关系证明;依据养父(母)的民族成份申请变更的，需提供收养证明;(四)如居民户口簿不能体现父母子女关系的，需提供公民户籍所在地的乡(镇)人民政府、街道办事处出具的父母子女关系证明;(五)其他相关证明材料。</w:t>
            </w:r>
            <w:r>
              <w:rPr>
                <w:rFonts w:hint="eastAsia" w:ascii="Times New Roman" w:hAnsi="Times New Roman"/>
                <w:szCs w:val="21"/>
              </w:rPr>
              <w:t>”</w:t>
            </w:r>
            <w:r>
              <w:rPr>
                <w:rFonts w:ascii="Times New Roman" w:hAnsi="Times New Roman"/>
                <w:szCs w:val="21"/>
              </w:rPr>
              <w:t>第十条</w:t>
            </w:r>
            <w:r>
              <w:rPr>
                <w:rFonts w:hint="eastAsia" w:ascii="Times New Roman" w:hAnsi="Times New Roman"/>
                <w:szCs w:val="21"/>
              </w:rPr>
              <w:t>：“</w:t>
            </w:r>
            <w:r>
              <w:rPr>
                <w:rFonts w:ascii="Times New Roman" w:hAnsi="Times New Roman"/>
                <w:szCs w:val="21"/>
              </w:rPr>
              <w:t>年满十八周岁的公民申请变更民族成份，需提交以下证明材料：(一)由本人提交的书面申请书;(二)公民本人及其父母的居民户口簿、居民身份证;(三)如居民户口簿不能体现公民与父母子女关系的，需要提供公民户籍所在地的乡(镇)人民政府、街道办事处出具的父母子女关系证明;(四)其他相关证明材料。</w:t>
            </w:r>
            <w:r>
              <w:rPr>
                <w:rFonts w:hint="eastAsia" w:ascii="Times New Roman" w:hAnsi="Times New Roman"/>
                <w:szCs w:val="21"/>
              </w:rPr>
              <w:t>”</w:t>
            </w:r>
            <w:r>
              <w:rPr>
                <w:rFonts w:hint="eastAsia" w:ascii="Times New Roman" w:hAnsi="Times New Roman"/>
              </w:rPr>
              <w:t xml:space="preserve"> </w:t>
            </w:r>
            <w:r>
              <w:rPr>
                <w:rFonts w:hint="eastAsia" w:ascii="Times New Roman" w:hAnsi="Times New Roman"/>
                <w:szCs w:val="21"/>
              </w:rPr>
              <w:t>第十一条：“申请变更民族成份，按照下列程序办理：(一)申请人向户籍所在地的县级人民政府民族事务部门提出申请；(二)县级人民政府民族事务部门对变更申请提出初审意见，对不符合条件的申请予以退回，并书面说明不予受理的理由;对符合条件的申请，自受理之日起的十个工作日内报上一级人民政府民族事务部门审批。对于十个工作日内不能提出初审意见的，经县级人民政府民族事务部门负责人批准，可以延长十个工作日；(三)上一级人民政府民族事务部门应当在收到审批申请之日起的十个工作日内，出具书面审批意见，并反馈给县级人民政府民族事务部门；(四)县级人民政府民族事务部门应当在收到审批意见的十个工作日内，将审批意见告知申请人。审批同意的，并将审批意见、公民申请书及相关证明材料抄送县级人民政府公安部门；(五)公安部门应当依据市级人民政府民族事务部门的审批意见，严格按照公民户籍主项信息变更的管理程序，在十五个工作日内办理公民民族成份变更登记。</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《中国公民民族成份登记管理办法》、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widowControl/>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表2-169</w:t>
      </w:r>
    </w:p>
    <w:tbl>
      <w:tblPr>
        <w:tblStyle w:val="11"/>
        <w:tblW w:w="865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6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序号</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4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8"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权力类型</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4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行政确认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权力项目名称</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center"/>
              <w:rPr>
                <w:rFonts w:ascii="Times New Roman" w:hAnsi="Times New Roman" w:cs="方正仿宋简体" w:eastAsiaTheme="minorEastAsia"/>
                <w:szCs w:val="21"/>
              </w:rPr>
            </w:pPr>
            <w:r>
              <w:rPr>
                <w:rFonts w:hint="eastAsia" w:ascii="Times New Roman" w:hAnsi="Times New Roman" w:eastAsiaTheme="minorEastAsia"/>
                <w:szCs w:val="21"/>
              </w:rPr>
              <w:t>对符合法律法规规定申请再生育的审批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06"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实施依据</w:t>
            </w:r>
          </w:p>
        </w:tc>
        <w:tc>
          <w:tcPr>
            <w:tcW w:w="6808" w:type="dxa"/>
            <w:tcBorders>
              <w:top w:val="single" w:color="auto" w:sz="4" w:space="0"/>
              <w:left w:val="single" w:color="auto" w:sz="4" w:space="0"/>
              <w:bottom w:val="single" w:color="auto" w:sz="4" w:space="0"/>
              <w:right w:val="single" w:color="auto" w:sz="4" w:space="0"/>
            </w:tcBorders>
            <w:vAlign w:val="center"/>
          </w:tcPr>
          <w:p>
            <w:pPr>
              <w:pStyle w:val="10"/>
              <w:shd w:val="clear" w:color="auto" w:fill="FFFFFF"/>
              <w:spacing w:before="0" w:beforeAutospacing="0" w:after="225" w:afterAutospacing="0" w:line="360" w:lineRule="exact"/>
              <w:ind w:firstLine="480"/>
              <w:rPr>
                <w:rFonts w:ascii="Times New Roman" w:hAnsi="Times New Roman" w:cs="Arial" w:eastAsiaTheme="minorEastAsia"/>
                <w:sz w:val="21"/>
                <w:szCs w:val="21"/>
              </w:rPr>
            </w:pPr>
            <w:r>
              <w:rPr>
                <w:rFonts w:hint="eastAsia" w:ascii="Times New Roman" w:hAnsi="Times New Roman"/>
                <w:kern w:val="2"/>
                <w:sz w:val="21"/>
                <w:szCs w:val="21"/>
              </w:rPr>
              <w:t>1.《四川省人口与计划生育条例》第十三条：“提倡一对夫妻生育两个子女。已有两个子女的夫妻，符合下列条件之一的，可以申请再生育一个子女：(一)有子女为病残儿，不能成长为正常劳动力，但医学上认为可再生育的;(二)夫妻一方为五级以上伤残的。”第十七条：“符合本条例第十三条第二款规定申请再生育的夫妻，由一方户籍所在地或者居住地的乡(镇)人民政府、街道办事处受理申请，县级计划生育行政部门在20个工作日内完成审批。逾期视为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责任主体</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40"/>
              <w:jc w:val="center"/>
              <w:rPr>
                <w:rFonts w:ascii="Times New Roman" w:hAnsi="Times New Roman" w:cs="方正仿宋简体" w:eastAsiaTheme="minorEastAsia"/>
                <w:szCs w:val="21"/>
                <w:highlight w:val="yellow"/>
              </w:rPr>
            </w:pPr>
            <w:r>
              <w:rPr>
                <w:rFonts w:hint="eastAsia" w:ascii="Times New Roman" w:hAnsi="Times New Roman" w:cs="方正仿宋简体"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责任事项</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ascii="Times New Roman" w:hAnsi="Times New Roman"/>
                <w:szCs w:val="21"/>
              </w:rPr>
              <w:t>1.受理责任：公示</w:t>
            </w:r>
            <w:r>
              <w:rPr>
                <w:rFonts w:hint="eastAsia" w:ascii="Times New Roman" w:hAnsi="Times New Roman"/>
                <w:szCs w:val="21"/>
              </w:rPr>
              <w:t>对符合法律法规规定申请再生育的审批</w:t>
            </w:r>
            <w:r>
              <w:rPr>
                <w:rFonts w:ascii="Times New Roman" w:hAnsi="Times New Roman"/>
                <w:szCs w:val="21"/>
              </w:rPr>
              <w:t>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ascii="Times New Roman" w:hAnsi="Times New Roman"/>
                <w:szCs w:val="21"/>
              </w:rPr>
              <w:t>2.审查责任：对</w:t>
            </w:r>
            <w:r>
              <w:rPr>
                <w:rFonts w:hint="eastAsia" w:ascii="Times New Roman" w:hAnsi="Times New Roman"/>
                <w:szCs w:val="21"/>
              </w:rPr>
              <w:t>对符合法律法规规定申请再生育的审批收</w:t>
            </w:r>
            <w:r>
              <w:rPr>
                <w:rFonts w:ascii="Times New Roman" w:hAnsi="Times New Roman"/>
                <w:szCs w:val="21"/>
              </w:rPr>
              <w:t>书面申请材料</w:t>
            </w:r>
            <w:r>
              <w:rPr>
                <w:rFonts w:hint="eastAsia" w:ascii="Times New Roman" w:hAnsi="Times New Roman"/>
                <w:szCs w:val="21"/>
              </w:rPr>
              <w:t>和现场设置</w:t>
            </w:r>
            <w:r>
              <w:rPr>
                <w:rFonts w:ascii="Times New Roman" w:hAnsi="Times New Roman"/>
                <w:szCs w:val="21"/>
              </w:rPr>
              <w:t>进行审查，提出审核意见。</w:t>
            </w:r>
          </w:p>
          <w:p>
            <w:pPr>
              <w:spacing w:line="360" w:lineRule="exact"/>
              <w:ind w:firstLine="420" w:firstLineChars="200"/>
              <w:jc w:val="left"/>
              <w:rPr>
                <w:rFonts w:ascii="Times New Roman" w:hAnsi="Times New Roman"/>
                <w:szCs w:val="21"/>
              </w:rPr>
            </w:pPr>
            <w:r>
              <w:rPr>
                <w:rFonts w:ascii="Times New Roman" w:hAnsi="Times New Roman"/>
                <w:szCs w:val="21"/>
              </w:rPr>
              <w:t>3.决定责任：</w:t>
            </w:r>
            <w:r>
              <w:rPr>
                <w:rFonts w:hint="eastAsia" w:ascii="Times New Roman" w:hAnsi="Times New Roman"/>
                <w:szCs w:val="21"/>
              </w:rPr>
              <w:t>区行政审批局对街道上报的申请材料进行审批，自受理之日起，行政审批局工作人员在承诺时限内做出是否批准的决定；对符合条件的，予以许可；不予许可的，书面说明理由</w:t>
            </w:r>
            <w:r>
              <w:rPr>
                <w:rFonts w:hint="eastAsia" w:ascii="Times New Roman" w:hAnsi="Times New Roman"/>
                <w:sz w:val="32"/>
                <w:szCs w:val="32"/>
              </w:rPr>
              <w:t>。</w:t>
            </w:r>
          </w:p>
          <w:p>
            <w:pPr>
              <w:snapToGrid w:val="0"/>
              <w:spacing w:line="360" w:lineRule="exact"/>
              <w:ind w:firstLine="315" w:firstLineChars="150"/>
              <w:rPr>
                <w:rFonts w:ascii="Times New Roman" w:hAnsi="Times New Roman"/>
                <w:szCs w:val="21"/>
              </w:rPr>
            </w:pPr>
            <w:r>
              <w:rPr>
                <w:rFonts w:hint="eastAsia" w:ascii="Times New Roman" w:hAnsi="Times New Roman"/>
                <w:szCs w:val="21"/>
              </w:rPr>
              <w:t>4.送达责任：区行政审批局审批合格后，证件下放至街道发放《生育证》。取件人凭身份证或受理通知书到街道领取办理结果。</w:t>
            </w:r>
          </w:p>
          <w:p>
            <w:pPr>
              <w:spacing w:line="360" w:lineRule="exact"/>
              <w:ind w:firstLine="210" w:firstLineChars="100"/>
              <w:rPr>
                <w:rFonts w:ascii="Times New Roman" w:hAnsi="Times New Roman"/>
              </w:rPr>
            </w:pPr>
            <w:r>
              <w:rPr>
                <w:rFonts w:hint="eastAsia" w:ascii="Times New Roman" w:hAnsi="Times New Roman"/>
                <w:szCs w:val="21"/>
              </w:rPr>
              <w:t>5</w:t>
            </w:r>
            <w:r>
              <w:rPr>
                <w:rFonts w:ascii="Times New Roman" w:hAnsi="Times New Roman"/>
                <w:szCs w:val="21"/>
              </w:rPr>
              <w:t>.其他责任：法律法规规章文件规定应履行的其他责任。</w:t>
            </w:r>
          </w:p>
          <w:p>
            <w:pPr>
              <w:spacing w:line="360" w:lineRule="exact"/>
              <w:ind w:firstLine="210" w:firstLineChars="100"/>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责任事项依据</w:t>
            </w:r>
          </w:p>
        </w:tc>
        <w:tc>
          <w:tcPr>
            <w:tcW w:w="6808"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 xml:space="preserve"> 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3. 《四川省人口与计划生育条例》第十七条：“符合本条例第十三条第二款规定申请再生育的夫妻，由一方户籍所在地或者居住地的乡(镇)人民政府、街道办事处受理申请，县级计划生育行政部门在20个工作日内完成审批。逾期视为批准。”</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4-1．《中华人民共和国行政许可法》第四十条：“行政机关作出准予行政许可的决定，应当予以公开，公众有权查阅。”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4-2．《中华人民共和国行政许可法》第四十四条：“行政机关作出准予行政许可的决定，应当自作出决定之日起十日内向申请人颁发、送达行政许可证件，或者加贴标签、加盖检验、检测、检疫印章。”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cs="方正仿宋简体" w:eastAsiaTheme="minorEastAsia"/>
                <w:szCs w:val="21"/>
              </w:rPr>
            </w:pPr>
            <w:r>
              <w:rPr>
                <w:rFonts w:hint="eastAsia" w:ascii="Times New Roman" w:hAnsi="Times New Roman" w:cs="方正仿宋简体" w:eastAsiaTheme="minorEastAsia"/>
                <w:szCs w:val="21"/>
              </w:rPr>
              <w:t>5. 成都市成华区人民政府关于印发《成华区相对集中行政许可权改革工作实施方案》的通知（成华府发〔2019〕3号）</w:t>
            </w:r>
            <w:r>
              <w:rPr>
                <w:rFonts w:ascii="Times New Roman" w:hAnsi="Times New Roman" w:cs="方正仿宋简体"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追责情形</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42"/>
              <w:rPr>
                <w:rFonts w:ascii="Times New Roman" w:hAnsi="Times New Roman" w:cs="方正仿宋简体" w:eastAsiaTheme="minorEastAsia"/>
                <w:szCs w:val="21"/>
              </w:rPr>
            </w:pPr>
            <w:r>
              <w:rPr>
                <w:rFonts w:hint="eastAsia" w:ascii="Times New Roman" w:hAnsi="Times New Roman"/>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w:t>
            </w:r>
            <w:r>
              <w:rPr>
                <w:rFonts w:hint="eastAsia" w:ascii="Times New Roman" w:hAnsi="Times New Roman" w:eastAsiaTheme="minorEastAsia"/>
                <w:szCs w:val="21"/>
              </w:rPr>
              <w:t>《</w:t>
            </w:r>
            <w:r>
              <w:rPr>
                <w:rFonts w:hint="eastAsia" w:ascii="Times New Roman" w:hAnsi="Times New Roman" w:cs="宋体"/>
              </w:rPr>
              <w:t>卫生行政许可管理办法</w:t>
            </w:r>
            <w:r>
              <w:rPr>
                <w:rFonts w:hint="eastAsia" w:ascii="Times New Roman" w:hAnsi="Times New Roman" w:eastAsiaTheme="minorEastAsia"/>
                <w:szCs w:val="21"/>
              </w:rPr>
              <w:t>》</w:t>
            </w:r>
            <w:r>
              <w:rPr>
                <w:rFonts w:hint="eastAsia" w:ascii="Times New Roman" w:hAnsi="Times New Roman"/>
                <w:szCs w:val="21"/>
              </w:rPr>
              <w:t>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监督电话</w:t>
            </w:r>
          </w:p>
        </w:tc>
        <w:tc>
          <w:tcPr>
            <w:tcW w:w="6808"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jc w:val="center"/>
              <w:rPr>
                <w:rFonts w:ascii="Times New Roman" w:hAnsi="Times New Roman" w:cs="方正仿宋简体" w:eastAsiaTheme="minorEastAsia"/>
                <w:szCs w:val="21"/>
              </w:rPr>
            </w:pPr>
            <w:r>
              <w:rPr>
                <w:rFonts w:hint="eastAsia" w:ascii="Times New Roman" w:hAnsi="Times New Roman" w:cs="方正仿宋简体" w:eastAsiaTheme="minorEastAsia"/>
                <w:szCs w:val="21"/>
              </w:rPr>
              <w:t>028-84384493</w:t>
            </w:r>
          </w:p>
        </w:tc>
      </w:tr>
    </w:tbl>
    <w:p>
      <w:pPr>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表2-170</w:t>
      </w:r>
    </w:p>
    <w:tbl>
      <w:tblPr>
        <w:tblStyle w:val="11"/>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序号</w:t>
            </w:r>
          </w:p>
        </w:tc>
        <w:tc>
          <w:tcPr>
            <w:tcW w:w="7582" w:type="dxa"/>
            <w:vAlign w:val="center"/>
          </w:tcPr>
          <w:p>
            <w:pPr>
              <w:spacing w:line="360" w:lineRule="exact"/>
              <w:jc w:val="center"/>
              <w:rPr>
                <w:rFonts w:ascii="Times New Roman" w:hAnsi="Times New Roman" w:eastAsiaTheme="minorEastAsia"/>
                <w:szCs w:val="21"/>
              </w:rPr>
            </w:pPr>
            <w:r>
              <w:rPr>
                <w:rFonts w:hint="eastAsia" w:ascii="Times New Roman" w:hAnsi="Times New Roman" w:eastAsiaTheme="minorEastAsia"/>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权力类型</w:t>
            </w:r>
          </w:p>
        </w:tc>
        <w:tc>
          <w:tcPr>
            <w:tcW w:w="7582" w:type="dxa"/>
            <w:vAlign w:val="center"/>
          </w:tcPr>
          <w:p>
            <w:pPr>
              <w:spacing w:line="360" w:lineRule="exact"/>
              <w:jc w:val="center"/>
              <w:rPr>
                <w:rFonts w:ascii="Times New Roman" w:hAnsi="Times New Roman" w:eastAsiaTheme="minorEastAsia"/>
                <w:szCs w:val="21"/>
              </w:rPr>
            </w:pPr>
            <w:r>
              <w:rPr>
                <w:rFonts w:hint="eastAsia" w:ascii="Times New Roman" w:hAnsi="Times New Roman" w:eastAsiaTheme="minorEastAsia"/>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权力项目名称</w:t>
            </w:r>
          </w:p>
        </w:tc>
        <w:tc>
          <w:tcPr>
            <w:tcW w:w="7582" w:type="dxa"/>
            <w:vAlign w:val="center"/>
          </w:tcPr>
          <w:p>
            <w:pPr>
              <w:spacing w:line="360" w:lineRule="exact"/>
              <w:jc w:val="center"/>
              <w:rPr>
                <w:rFonts w:ascii="Times New Roman" w:hAnsi="Times New Roman" w:eastAsiaTheme="minorEastAsia"/>
                <w:szCs w:val="21"/>
              </w:rPr>
            </w:pPr>
            <w:r>
              <w:rPr>
                <w:rFonts w:hint="eastAsia" w:ascii="Times New Roman" w:hAnsi="Times New Roman" w:eastAsiaTheme="minorEastAsia"/>
                <w:szCs w:val="21"/>
              </w:rPr>
              <w:t>企业有关事项备案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5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实施依据</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1.《中华人民共和国公司登记管理条例》第二条：“有限责任公司和股份有限公司(以下统称公司)设立、变更、终止，应当依照本条例办理公司登记。”；</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2.《中华人民共和国合伙企业登记管理办法》第二条：“合伙企业的设立、变更、注销，应当依照合伙企业法和本办法的规定办理企业登记。”</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3.《中华人民共和国企业法人登记管理条例》第二条：“具备法人条件的下列企业，应当依照本条例的规定办理企业法人登记：(一)全民所有制企业；(二)集体所有制企业；(三)联营企业；(四)在中华人民共和国境内设立的中外合资经营企业、中外合作经营企业和外资企业；(五)私营企业；(六)依法需要办理企业法人登记的其他企业。</w:t>
            </w:r>
          </w:p>
          <w:p>
            <w:pPr>
              <w:spacing w:line="360" w:lineRule="exact"/>
              <w:ind w:firstLine="420" w:firstLineChars="200"/>
              <w:jc w:val="left"/>
              <w:rPr>
                <w:rFonts w:ascii="Times New Roman" w:hAnsi="Times New Roman" w:eastAsiaTheme="minorEastAsia"/>
                <w:szCs w:val="21"/>
              </w:rPr>
            </w:pPr>
            <w:r>
              <w:rPr>
                <w:rFonts w:hint="eastAsia" w:ascii="Times New Roman" w:hAnsi="Times New Roman" w:eastAsiaTheme="minorEastAsia"/>
                <w:szCs w:val="21"/>
              </w:rPr>
              <w:t>4.《中华人民共和国个人独资企业法》第九条：”申请设立个人独资企业，应当由投资人或者其委托的代理人向个人独资企业所在地的登记机关提交设立申请书、投资人身份证明、生产经营场所使用证明等文件。委托代理人申请设立登记时，应当出具投资人的委托书和代理人的合法证明。个人独资企业不得从事法律、行政法规禁止经营的业务；从事法律、行政法规规定须报经有关部门审批的业务，应当在申请设立登记时提交有关部门的批准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责任主体</w:t>
            </w:r>
          </w:p>
        </w:tc>
        <w:tc>
          <w:tcPr>
            <w:tcW w:w="7582" w:type="dxa"/>
            <w:vAlign w:val="center"/>
          </w:tcPr>
          <w:p>
            <w:pPr>
              <w:spacing w:line="360" w:lineRule="exact"/>
              <w:jc w:val="center"/>
              <w:rPr>
                <w:rFonts w:ascii="Times New Roman" w:hAnsi="Times New Roman" w:eastAsiaTheme="minorEastAsia"/>
                <w:szCs w:val="21"/>
              </w:rPr>
            </w:pPr>
            <w:r>
              <w:rPr>
                <w:rFonts w:hint="eastAsia" w:ascii="Times New Roman" w:hAnsi="Times New Roman" w:eastAsiaTheme="minorEastAsia"/>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w:t>
            </w:r>
          </w:p>
        </w:tc>
        <w:tc>
          <w:tcPr>
            <w:tcW w:w="7582" w:type="dxa"/>
            <w:vAlign w:val="center"/>
          </w:tcPr>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1.</w:t>
            </w:r>
            <w:r>
              <w:rPr>
                <w:rFonts w:hint="eastAsia" w:ascii="Times New Roman" w:hAnsi="Times New Roman" w:eastAsiaTheme="minorEastAsia"/>
                <w:szCs w:val="21"/>
              </w:rPr>
              <w:t>立项</w:t>
            </w:r>
            <w:r>
              <w:rPr>
                <w:rFonts w:ascii="Times New Roman" w:hAnsi="Times New Roman" w:eastAsiaTheme="minorEastAsia"/>
                <w:szCs w:val="21"/>
              </w:rPr>
              <w:t>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2.审查责任：对书面申请材料进行审查，提出审核意见。</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3.</w:t>
            </w:r>
            <w:r>
              <w:rPr>
                <w:rFonts w:hint="eastAsia" w:ascii="Times New Roman" w:hAnsi="Times New Roman" w:eastAsiaTheme="minorEastAsia"/>
                <w:szCs w:val="21"/>
              </w:rPr>
              <w:t>决定公布责任：公司登记机关应当将公司登记、备案信息通过企业信用信息公示系统向社会公示。</w:t>
            </w:r>
          </w:p>
          <w:p>
            <w:pPr>
              <w:spacing w:line="360" w:lineRule="exact"/>
              <w:ind w:firstLine="420" w:firstLineChars="200"/>
              <w:jc w:val="left"/>
              <w:rPr>
                <w:rFonts w:ascii="Times New Roman" w:hAnsi="Times New Roman" w:eastAsiaTheme="minorEastAsia"/>
                <w:szCs w:val="21"/>
              </w:rPr>
            </w:pPr>
            <w:r>
              <w:rPr>
                <w:rFonts w:ascii="Times New Roman" w:hAnsi="Times New Roman" w:eastAsiaTheme="minorEastAsia"/>
                <w:szCs w:val="21"/>
              </w:rPr>
              <w:t>4.</w:t>
            </w:r>
            <w:r>
              <w:rPr>
                <w:rFonts w:hint="eastAsia" w:ascii="Times New Roman" w:hAnsi="Times New Roman" w:eastAsiaTheme="minorEastAsia"/>
                <w:szCs w:val="21"/>
              </w:rPr>
              <w:t>其他责任：对农民专业合作社设立、变更、注销进行备案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责任事项依据</w:t>
            </w:r>
          </w:p>
        </w:tc>
        <w:tc>
          <w:tcPr>
            <w:tcW w:w="7582" w:type="dxa"/>
            <w:vAlign w:val="center"/>
          </w:tcPr>
          <w:p>
            <w:pPr>
              <w:widowControl/>
              <w:shd w:val="clear" w:color="auto" w:fill="FFFFFF"/>
              <w:spacing w:line="360" w:lineRule="exact"/>
              <w:ind w:firstLine="315" w:firstLineChars="15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xml:space="preserve"> 1.《中华人民共和国公司登记管理条例》</w:t>
            </w:r>
          </w:p>
          <w:p>
            <w:pPr>
              <w:widowControl/>
              <w:shd w:val="clear" w:color="auto" w:fill="FFFFFF"/>
              <w:spacing w:line="360" w:lineRule="exact"/>
              <w:ind w:firstLine="315" w:firstLineChars="15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第五十一条　公司登记机关应当根据下列情况分别作出是否受理的决定：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(一)申请文件、材料齐全，符合法定形式的，或者申请人按照公司登记机关的要求提交全部补正申请文件、材料的，应当决定予以受理。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(二)申请文件、材料齐全，符合法定形式，但公司登记机关认为申请文件、材料需要核实的，应当决定予以受理，同时书面告知申请人需要核实的事项、理由以及时间。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(三)申请文件、材料存在可以当场更正的错误的，应当允许申请人当场予以更正，由申请人在更正处签名或者盖章，注明更正日期；经确认申请文件、材料齐全，符合法定形式的，应当决定予以受理。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四)申请文件、材料不齐全或者不符合法定形式的，应当当场或者在5日内一次告知申请人需要补正的全部内容；当场告知时，应当将申请文件、材料退回申请人；属于5日内告知的，应当收取申请文件、材料并出具收到申请文件、材料的凭据，逾期不告知的，自收到申请文件、材料之日起即为受理。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(五)不属于公司登记范畴或者不属于本机关登记管辖范围的事项，应当即时决定不予受理，并告知申请人向有关行政机关申请。 </w:t>
            </w:r>
          </w:p>
          <w:p>
            <w:pPr>
              <w:widowControl/>
              <w:shd w:val="clear" w:color="auto" w:fill="FFFFFF"/>
              <w:spacing w:line="360" w:lineRule="exact"/>
              <w:ind w:firstLine="420" w:firstLineChars="20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公司登记机关对通过信函、电报、电传、传真、电子数据交换和电子邮件等方式提出申请的，应当自收到申请文件、材料之日起5日内作出是否受理的决定。</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第五十二条　除依照本条例第五十三条第一款第(一)项作出准予登记决定的外，公司登记机关决定予以受理的，应当出具《受理通知书》；决定不予受理的，应当出具《不予受理通知书》，说明不予受理的理由，并告知申请人享有依法申请行政复议或者提起行政诉讼的权利。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第五十三条　公司登记机关对决定予以受理的登记申请，应当分别情况在规定的期限内作出是否准予登记的决定：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(一)对申请人到公司登记机关提出的申请予以受理的，应当当场作出准予登记的决定。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(二)对申请人通过信函方式提交的申请予以受理的，应当自受理之日起15日内作出准予登记的决定。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三)通过电报、电传、传真、电子数据交换和电子邮件等方式提交申请的，申请人应当自收到《受理通知书》之日起15日内，提交与电报、电传、传真、电子数据交换和电子邮件等内容一致并符合法定形式的申请文件、材料原件；申请人到公司登记机关提交申请文件、材料原件的，应当当场作出准予登记的决定；申请人通过信函方式提交申请文件、材料原件的，应当自受理之日起15日内作出准予登记的决定。 </w:t>
            </w:r>
          </w:p>
          <w:p>
            <w:pPr>
              <w:widowControl/>
              <w:shd w:val="clear" w:color="auto" w:fill="FFFFFF"/>
              <w:spacing w:line="360" w:lineRule="exac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　　(四)公司登记机关自发出《受理通知书》之日起60日内，未收到申请文件、材料原件，或者申请文件、材料原件与公司登记机关所受理的申请文件、材料不一致的，应当作出不予登记的决定。 </w:t>
            </w:r>
          </w:p>
          <w:p>
            <w:pPr>
              <w:widowControl/>
              <w:shd w:val="clear" w:color="auto" w:fill="FFFFFF"/>
              <w:spacing w:line="360" w:lineRule="exact"/>
              <w:ind w:firstLine="42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公司登记机关需要对申请文件、材料核实的，应当自受理之日起15日内作出是否准予登记的决定。</w:t>
            </w:r>
          </w:p>
          <w:p>
            <w:pPr>
              <w:widowControl/>
              <w:shd w:val="clear" w:color="auto" w:fill="FFFFFF"/>
              <w:spacing w:line="360" w:lineRule="exact"/>
              <w:ind w:firstLine="315" w:firstLineChars="150"/>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第五十五条　公司登记机关应当将公司登记、备案信息通过企业信用信息公示系统向社会公示。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1"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追责情形</w:t>
            </w:r>
          </w:p>
        </w:tc>
        <w:tc>
          <w:tcPr>
            <w:tcW w:w="7582" w:type="dxa"/>
            <w:vAlign w:val="center"/>
          </w:tcPr>
          <w:p>
            <w:pPr>
              <w:spacing w:line="360" w:lineRule="exact"/>
              <w:ind w:firstLine="420" w:firstLineChars="200"/>
              <w:jc w:val="left"/>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中华人民共和国公司登记管理条例》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560" w:type="dxa"/>
            <w:vAlign w:val="center"/>
          </w:tcPr>
          <w:p>
            <w:pPr>
              <w:spacing w:line="360" w:lineRule="exact"/>
              <w:jc w:val="center"/>
              <w:rPr>
                <w:rFonts w:ascii="Times New Roman" w:hAnsi="Times New Roman" w:eastAsiaTheme="minorEastAsia"/>
                <w:szCs w:val="21"/>
              </w:rPr>
            </w:pPr>
            <w:r>
              <w:rPr>
                <w:rFonts w:ascii="Times New Roman" w:hAnsi="Times New Roman" w:eastAsiaTheme="minorEastAsia"/>
                <w:szCs w:val="21"/>
              </w:rPr>
              <w:t>监督电话</w:t>
            </w:r>
          </w:p>
        </w:tc>
        <w:tc>
          <w:tcPr>
            <w:tcW w:w="7582" w:type="dxa"/>
            <w:vAlign w:val="center"/>
          </w:tcPr>
          <w:p>
            <w:pPr>
              <w:spacing w:line="360" w:lineRule="exact"/>
              <w:jc w:val="center"/>
              <w:rPr>
                <w:rFonts w:ascii="Times New Roman" w:hAnsi="Times New Roman" w:eastAsiaTheme="minorEastAsia"/>
                <w:szCs w:val="21"/>
              </w:rPr>
            </w:pPr>
            <w:r>
              <w:rPr>
                <w:rFonts w:hint="eastAsia" w:ascii="Times New Roman" w:hAnsi="Times New Roman" w:eastAsiaTheme="minorEastAsia"/>
                <w:szCs w:val="21"/>
              </w:rPr>
              <w:t>028-84384493</w:t>
            </w:r>
          </w:p>
        </w:tc>
      </w:tr>
    </w:tbl>
    <w:p>
      <w:pPr>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表2-171</w:t>
      </w:r>
    </w:p>
    <w:tbl>
      <w:tblPr>
        <w:tblStyle w:val="11"/>
        <w:tblW w:w="9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0"/>
        <w:gridCol w:w="7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 w:hRule="atLeast"/>
          <w:jc w:val="center"/>
        </w:trPr>
        <w:tc>
          <w:tcPr>
            <w:tcW w:w="1820"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序    号</w:t>
            </w:r>
          </w:p>
        </w:tc>
        <w:tc>
          <w:tcPr>
            <w:tcW w:w="7407" w:type="dxa"/>
            <w:shd w:val="clear" w:color="auto" w:fill="auto"/>
            <w:noWrap/>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 w:hRule="atLeast"/>
          <w:jc w:val="center"/>
        </w:trPr>
        <w:tc>
          <w:tcPr>
            <w:tcW w:w="1820"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权力类型</w:t>
            </w:r>
          </w:p>
        </w:tc>
        <w:tc>
          <w:tcPr>
            <w:tcW w:w="7407"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 w:hRule="atLeast"/>
          <w:jc w:val="center"/>
        </w:trPr>
        <w:tc>
          <w:tcPr>
            <w:tcW w:w="1820" w:type="dxa"/>
            <w:shd w:val="clear" w:color="auto" w:fill="auto"/>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权力项目</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名    称</w:t>
            </w:r>
          </w:p>
        </w:tc>
        <w:tc>
          <w:tcPr>
            <w:tcW w:w="7407"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权限内商品和服务价格政府定价、政府指导价制定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 w:hRule="atLeast"/>
          <w:jc w:val="center"/>
        </w:trPr>
        <w:tc>
          <w:tcPr>
            <w:tcW w:w="1820"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实施依据</w:t>
            </w:r>
          </w:p>
        </w:tc>
        <w:tc>
          <w:tcPr>
            <w:tcW w:w="7407" w:type="dxa"/>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1.《中华人民共和国价格法》第二十条第三款“市、县人民政府可以根据省、自治区、直辖市人民政府的授权，按照地方定价目录规定的定价权限和具体适用范围制定在本地区执行的政府指导价、政府定价。第二十二条：政府价格主管部门和其他有关部门制定政府指导价、政府定价，应当开展价格、成本调查，听取消费者、经营者和有关方面的意见。政府价格主管部门开展对政府指导价、政府定价的价格、成本调查时，有关单位应当如实反映情况，提供必需的账簿、文件以及其他资料”。</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xml:space="preserve">    2.《政府制定价格行为规则》第十一条“定价机关制定价格，应当开展成本监审或者成本调查，并逐步建立成本信息公开制度。依法应当开展成本监审的，按照成本监审的有关规定执行，未经成本监审的，不得制定价格。第十二条：制定专业性、技术性较强的商品和服务价格时，定价机关应当聘请有关方面的专家进行论证”。</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xml:space="preserve">    3.《四川省定价目录（2021年版）》 全文。</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xml:space="preserve">    4.《四川省价格管理条例》第十四条 对国民经济、社会发展和人民生活有重大影响的少数商品、服务实行政府定价。对国民经济、社会发展和人民生活有较大影响的少数商品和服务实行政府指导价。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 w:hRule="atLeast"/>
          <w:jc w:val="center"/>
        </w:trPr>
        <w:tc>
          <w:tcPr>
            <w:tcW w:w="1820"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责任主体</w:t>
            </w:r>
          </w:p>
        </w:tc>
        <w:tc>
          <w:tcPr>
            <w:tcW w:w="7407"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 w:hRule="atLeast"/>
          <w:jc w:val="center"/>
        </w:trPr>
        <w:tc>
          <w:tcPr>
            <w:tcW w:w="1820"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责任事项</w:t>
            </w:r>
          </w:p>
        </w:tc>
        <w:tc>
          <w:tcPr>
            <w:tcW w:w="7407" w:type="dxa"/>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1.立项责任：公示应当提交的材料，对书面申请材料进行形式审查，一次性告知补正材料，依法受理或不予受理（不予受理应当告知理由，并告知申请人享有依法申请行政复议或者提起行政诉讼的权力）。</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2.审查责任：对书面申请材料进行审查，并提出意见。</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3.批准责任：在规定时间内作出行政许可或不予行政许可的决定（不予行政许可的应当书面告知理由，并告知申请人享有依法申请行政复议或者提起行政诉讼的权力）。</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4.发布备案责任：对部分重要商品和服务价格实行备案制度。</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 w:hRule="atLeast"/>
          <w:jc w:val="center"/>
        </w:trPr>
        <w:tc>
          <w:tcPr>
            <w:tcW w:w="1820"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责任事项依据</w:t>
            </w:r>
          </w:p>
        </w:tc>
        <w:tc>
          <w:tcPr>
            <w:tcW w:w="7407" w:type="dxa"/>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1.《四川省价格管理条例》第十五条“实行政府指导价、政府定价的商品和服务项目的定价目录，由中央定价目录和地方定价目录组成;地方定价目录由省物价部门按照中央定价目录规定的定价权限和具体适用范围制定，经省人民政府审核同意，报国务院价格主管部门审定后公布。市、州、县(区)人民政府和地区行政公署可以根据省人民政府的授权，按照地方定价目录规定的定价权限和具体适用范围，制定在本地区执行的政府指导价、政府定价”。</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2.同上。</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3.同上。</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4.《四川省价格管理条例》第三十三条县级以上物价部门按规定可以对部分重要商品和服务价格实行提价申报、备案制度。</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5.法律法规规定应履行的其它责任。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 w:hRule="atLeast"/>
          <w:jc w:val="center"/>
        </w:trPr>
        <w:tc>
          <w:tcPr>
            <w:tcW w:w="1820"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追责情形</w:t>
            </w:r>
          </w:p>
        </w:tc>
        <w:tc>
          <w:tcPr>
            <w:tcW w:w="7407" w:type="dxa"/>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对不履行或不正确履行行政职责的行政机关及其工作人员，依据《中华人民共和国监察法》、《中华人民共和国行政许可法》、《行政机关公务员处分条例》、《公职人员政务处分暂行规定》、《四川省行政审批违法违纪行为责任追究办法》、《四川省价格管理条例》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 w:hRule="atLeast"/>
          <w:jc w:val="center"/>
        </w:trPr>
        <w:tc>
          <w:tcPr>
            <w:tcW w:w="1820"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监督电话</w:t>
            </w:r>
          </w:p>
        </w:tc>
        <w:tc>
          <w:tcPr>
            <w:tcW w:w="7407"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028-84384493</w:t>
            </w:r>
          </w:p>
        </w:tc>
      </w:tr>
    </w:tbl>
    <w:p>
      <w:pPr>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rPr>
          <w:rFonts w:ascii="Times New Roman" w:hAnsi="Times New Roman"/>
        </w:rPr>
      </w:pPr>
      <w:r>
        <w:rPr>
          <w:rFonts w:hint="eastAsia" w:ascii="Times New Roman" w:hAnsi="Times New Roman"/>
        </w:rPr>
        <w:t>表2-172</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1"/>
        <w:gridCol w:w="7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 w:hRule="atLeast"/>
          <w:jc w:val="center"/>
        </w:trPr>
        <w:tc>
          <w:tcPr>
            <w:tcW w:w="1831"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序    号</w:t>
            </w:r>
          </w:p>
        </w:tc>
        <w:tc>
          <w:tcPr>
            <w:tcW w:w="7457" w:type="dxa"/>
            <w:shd w:val="clear" w:color="auto" w:fill="auto"/>
            <w:noWrap/>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 w:hRule="atLeast"/>
          <w:jc w:val="center"/>
        </w:trPr>
        <w:tc>
          <w:tcPr>
            <w:tcW w:w="1831"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权力类型</w:t>
            </w:r>
          </w:p>
        </w:tc>
        <w:tc>
          <w:tcPr>
            <w:tcW w:w="7457"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 w:hRule="atLeast"/>
          <w:jc w:val="center"/>
        </w:trPr>
        <w:tc>
          <w:tcPr>
            <w:tcW w:w="1831" w:type="dxa"/>
            <w:shd w:val="clear" w:color="auto" w:fill="auto"/>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权力项目</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名    称</w:t>
            </w:r>
          </w:p>
        </w:tc>
        <w:tc>
          <w:tcPr>
            <w:tcW w:w="7457"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企业投资项目备案（技术改造项目）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1831"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实施依据</w:t>
            </w:r>
          </w:p>
        </w:tc>
        <w:tc>
          <w:tcPr>
            <w:tcW w:w="7457" w:type="dxa"/>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1.《企业投资项目核准和备案管理条例》　第三条　对关系国家安全、涉及全国重大生产力布局、战略性资源开发和重大公共利益等项目，实行核准管理。具体项目范围以及核准机关、核准权限依照政府核准的投资项目目录执行。政府核准的投资项目目录由国务院投资主管部门会同国务院有关部门提出，报国务院批准后实施，并适时调整。国务院另有规定的，依照其规定。对前款规定以外的项目，实行备案管理。除国务院另有规定的，实行备案管理的项目按照属地原则备案，备案机关及其权限由省、自治区、直辖市和计划单列市人民政府规定。</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第四条　除涉及国家秘密的项目外，项目核准、备案通过国家建立的项目在线监管平台（以下简称在线平台）办理。</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核准机关、备案机关以及其他有关部门统一使用在线平台生成的项目代码办理相关手续。</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国务院投资主管部门会同有关部门制定在线平台管理办法。</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xml:space="preserve">    2.《企业投资项目核准和备案管理办法》第三条　县级以上人民政府投资主管部门对投资项目履行综合管理职责。</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县级以上人民政府其他部门依照法律、法规规定，按照本级政府规定职责分工，对投资项目履行相应管理职责。</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第四条　根据项目不同情况，分别实行核准管理或备案管理。</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对关系国家安全、涉及全国重大生产力布局、战略性资源开发和重大公共利益等项目，实行核准管理。其他项目实行备案管理。</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xml:space="preserve">    3.《四川省人民政府关于发布政府核准的投资项目目录（四川省2017年本）的通知》（川府发[2017]43号）；</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xml:space="preserve">    4.《四川省企业投资项目核准和备案管理办法》（川办发[2018]23号）；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 w:hRule="atLeast"/>
          <w:jc w:val="center"/>
        </w:trPr>
        <w:tc>
          <w:tcPr>
            <w:tcW w:w="1831"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责任主体</w:t>
            </w:r>
          </w:p>
        </w:tc>
        <w:tc>
          <w:tcPr>
            <w:tcW w:w="7457"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jc w:val="center"/>
        </w:trPr>
        <w:tc>
          <w:tcPr>
            <w:tcW w:w="1831"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责任事项</w:t>
            </w:r>
          </w:p>
        </w:tc>
        <w:tc>
          <w:tcPr>
            <w:tcW w:w="7457" w:type="dxa"/>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1.立项责任：公示应当提交的材料，对书面申请材料进行形式审查，一次性告知补正材料，依法受理或不予受理（不予受理应当告知理由，并告知申请人享有依法申请行政复议或者提起行政诉讼的权力）。</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2.审查责任：对书面申请材料进行审查，并提出意见。</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3.批准责任：在规定时间内作出行政许可或不予行政许可的决定（不予行政许可的应当书面告知理由，并告知申请人享有依法申请行政复议或者提起行政诉讼的权力）。</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4.发布备案责任：通过在线平台公开项目备案事项的办理条件、办理流程、办理时限，根据《政府信息公开条例》有关规定将备案结果予以公开。</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31"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责任事项依据</w:t>
            </w:r>
          </w:p>
        </w:tc>
        <w:tc>
          <w:tcPr>
            <w:tcW w:w="7457" w:type="dxa"/>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1.《企业投资项目核准和备案管理办法》第四十一条“项目备案机关收到本办法第四十条规定的全部信息即为备案。项目备案信息不完整的，备案机关应当及时以适当方式提醒和指导项目单位补正”。</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2.同上。</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3.《企业投资项目核准和备案管理办法》第四十二条“项目备案相关信息通过在线平台在相关部门之间实现互通共享”。</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4.《企业投资项目核准和备案管理办法》第十四条 项目核准、备案机关及有关部门应当通过在线平台公开与项目有关的发展规划、产业政策和准入标准，公开项目核准、备案等事项的办理条件、办理流程、办理时限等。项目核准、备案机关应根据《政府信息公开条例》有关规定将核准、备案结果予以公开，不得违法违规公开重大工程的关键信息。 </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5.《企业投资项目核准和备案管理办法》第四十三条“项目备案后，项目法人发生变化，项目建设地点、规模、内容发生重大变更，或者放弃项目建设的，项目单位应当通过在线平台及时告知项目备案机关，并修改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831"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追责情形</w:t>
            </w:r>
          </w:p>
        </w:tc>
        <w:tc>
          <w:tcPr>
            <w:tcW w:w="7457" w:type="dxa"/>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对不履行或不正确履行行政职责的行政机关及其工作人员，依据《中华人民共和国监察法》、《中华人民共和国行政许可法》、《行政机关公务员处分条例》、《公职人员政务处分暂行规定》、《四川省行政审批违法违纪行为责任追究办法》、《企业投资项目核准和备案管理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 w:hRule="atLeast"/>
          <w:jc w:val="center"/>
        </w:trPr>
        <w:tc>
          <w:tcPr>
            <w:tcW w:w="1831"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监督电话</w:t>
            </w:r>
          </w:p>
        </w:tc>
        <w:tc>
          <w:tcPr>
            <w:tcW w:w="7457" w:type="dxa"/>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028-84384493</w:t>
            </w:r>
          </w:p>
        </w:tc>
      </w:tr>
    </w:tbl>
    <w:p>
      <w:pPr>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uppressLineNumbers/>
        <w:suppressAutoHyphens/>
        <w:spacing w:line="360" w:lineRule="exact"/>
        <w:rPr>
          <w:rFonts w:ascii="Times New Roman" w:hAnsi="Times New Roman"/>
        </w:rPr>
      </w:pPr>
      <w:r>
        <w:rPr>
          <w:rFonts w:hint="eastAsia" w:ascii="Times New Roman" w:hAnsi="Times New Roman"/>
        </w:rPr>
        <w:t>表2-173</w:t>
      </w:r>
    </w:p>
    <w:tbl>
      <w:tblPr>
        <w:tblStyle w:val="11"/>
        <w:tblW w:w="8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4"/>
        <w:gridCol w:w="7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序    号</w:t>
            </w:r>
          </w:p>
        </w:tc>
        <w:tc>
          <w:tcPr>
            <w:tcW w:w="7224" w:type="dxa"/>
            <w:shd w:val="clear" w:color="auto" w:fill="auto"/>
            <w:noWrap/>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77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权力类型</w:t>
            </w:r>
          </w:p>
        </w:tc>
        <w:tc>
          <w:tcPr>
            <w:tcW w:w="722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774" w:type="dxa"/>
            <w:shd w:val="clear" w:color="auto" w:fill="auto"/>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权力项目名称</w:t>
            </w:r>
          </w:p>
        </w:tc>
        <w:tc>
          <w:tcPr>
            <w:tcW w:w="722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撤销、注销代理记账资格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29" w:hRule="atLeast"/>
          <w:jc w:val="center"/>
        </w:trPr>
        <w:tc>
          <w:tcPr>
            <w:tcW w:w="177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实施依据</w:t>
            </w:r>
          </w:p>
        </w:tc>
        <w:tc>
          <w:tcPr>
            <w:tcW w:w="7224" w:type="dxa"/>
            <w:shd w:val="clear" w:color="auto" w:fill="auto"/>
          </w:tcPr>
          <w:p>
            <w:pPr>
              <w:widowControl/>
              <w:suppressLineNumbers/>
              <w:suppressAutoHyphens/>
              <w:spacing w:line="36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代理记账管理办法》第十八条“代理记账机构采取欺骗、贿赂等不正当手段取得代理记账资格的，由审批机关撤销其资格”、第十九条“代理记账机构在经营期间达不到本办法规定的资格条件的，审批机关发现后，应当责令其在60日内整改；逾期仍达不到规定条件的，由审批机关撤销其代理记账资格”、第二十条“代理记账机构有下列情形之一的，审批机关应当办理注销手续，收回代理记账许可证书并予以公告：（一）代理记账机构依法终止的；（二）代理记账资格被依法撤销或撤回的；（三）法律、法规规定的应当注销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77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责任主体</w:t>
            </w:r>
          </w:p>
        </w:tc>
        <w:tc>
          <w:tcPr>
            <w:tcW w:w="722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79" w:hRule="atLeast"/>
          <w:jc w:val="center"/>
        </w:trPr>
        <w:tc>
          <w:tcPr>
            <w:tcW w:w="177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w:t>
            </w:r>
          </w:p>
        </w:tc>
        <w:tc>
          <w:tcPr>
            <w:tcW w:w="7224" w:type="dxa"/>
            <w:shd w:val="clear" w:color="auto" w:fill="auto"/>
          </w:tcPr>
          <w:p>
            <w:pPr>
              <w:widowControl/>
              <w:suppressLineNumbers/>
              <w:suppressAutoHyphens/>
              <w:spacing w:line="34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1.立项责任：公示应当提交的材料，对书面申请材料进行形式审查，一次性告知补正材料，依法受理或不予受理（不予受理应当告知理由，并告知申请人享有依法申请行政复议或者提起行政诉讼的权力）。</w:t>
            </w:r>
          </w:p>
          <w:p>
            <w:pPr>
              <w:widowControl/>
              <w:suppressLineNumbers/>
              <w:suppressAutoHyphens/>
              <w:spacing w:line="34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2.审查责任：对书面申请材料进行审查，并提出意见。</w:t>
            </w:r>
          </w:p>
          <w:p>
            <w:pPr>
              <w:widowControl/>
              <w:suppressLineNumbers/>
              <w:suppressAutoHyphens/>
              <w:spacing w:line="34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3.批准责任：在规定时间内作出行政许可或不予行政许可的决定（不予行政许可的应当书面告知理由，并告知申请人享有依法申请行政复议或者提起行政诉讼的权力）。</w:t>
            </w:r>
          </w:p>
          <w:p>
            <w:pPr>
              <w:widowControl/>
              <w:suppressLineNumbers/>
              <w:suppressAutoHyphens/>
              <w:spacing w:line="34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4.发布备案责任：视情形办理注销手续，收回代理记账许可证书并予以公告。</w:t>
            </w:r>
          </w:p>
          <w:p>
            <w:pPr>
              <w:widowControl/>
              <w:suppressLineNumbers/>
              <w:suppressAutoHyphens/>
              <w:spacing w:line="34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7" w:hRule="atLeast"/>
          <w:jc w:val="center"/>
        </w:trPr>
        <w:tc>
          <w:tcPr>
            <w:tcW w:w="177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责任事项依据</w:t>
            </w:r>
          </w:p>
        </w:tc>
        <w:tc>
          <w:tcPr>
            <w:tcW w:w="7224" w:type="dxa"/>
            <w:shd w:val="clear" w:color="auto" w:fill="auto"/>
          </w:tcPr>
          <w:p>
            <w:pPr>
              <w:widowControl/>
              <w:suppressLineNumbers/>
              <w:suppressAutoHyphens/>
              <w:spacing w:line="35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1.《代理记账管理办法》第六条“审批机关审批代理记账资格应当按照下列程序办理：（一）申请人提交的申请材料不齐全或不符合规定形式的，应当在5日内一次告知申请人需要补正的全部内容，逾期不告知的，自收到申请材料之日起即视为受理；申请人提交的申请材料齐全、符合规定形式的，或者申请人按照要求提交全部补正申请材料的，应当受理申请。（二）受理申请后应当按照规定对申请材料进行审核，并自受理申请之日起10日内作出批准或者不予批准的决定。10日内不能作出决定的，经本审批机关负责人批准可延长10日，并应当将延长期限的理由告知申请人。（三）作出批准决定的，应当自作出决定之日起10日内向申请人发放代 理记账许可证书，并向社会公示。审批机关进行全覆盖例行检查，发现实际情况与承诺内容不符的，依法撤销审批并给予处罚。（四）作出不予批准决定的，应当自作出决定之日起10日内书面通知申请人。书面通知应当说明不予批准的理由，并告知申请人享有依法申请行政复议或者提起行政诉讼的权利”。</w:t>
            </w:r>
          </w:p>
          <w:p>
            <w:pPr>
              <w:widowControl/>
              <w:suppressLineNumbers/>
              <w:suppressAutoHyphens/>
              <w:spacing w:line="35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2.同上。</w:t>
            </w:r>
          </w:p>
          <w:p>
            <w:pPr>
              <w:widowControl/>
              <w:suppressLineNumbers/>
              <w:suppressAutoHyphens/>
              <w:spacing w:line="35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3.同上。</w:t>
            </w:r>
          </w:p>
          <w:p>
            <w:pPr>
              <w:widowControl/>
              <w:suppressLineNumbers/>
              <w:suppressAutoHyphens/>
              <w:spacing w:line="35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4.《代理记账管理办法》第二十条 代理记账机构有下列情形之一的，审批机关应当办理注销手续，收回代理记账许可证书并予以公告:(一)代理记账机构依法终止的;(二)代理记账资格被依法撤销或撤回的;(三)法律、法规规定的应当注销的其他情形。</w:t>
            </w:r>
          </w:p>
          <w:p>
            <w:pPr>
              <w:widowControl/>
              <w:suppressLineNumbers/>
              <w:suppressAutoHyphens/>
              <w:spacing w:line="35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5.《代理记账管理办法》第八条“代理记账机构名称、主管代理记账业务的负责人发生变更，设立或撤销分支机构，跨原审批机关管辖地迁移办公地点的，应当自作出变更决定或变更之日起30日内依法向审批机关办理变更登记，并应当自变更登记完成之日起20日内通过企业信用信息公示系统向社会公示。代理记账机构变更名称的，应当向审批机关领取新的代理记账许可证书，并同时交回原代理记账许可证书。代理记账机构跨原审批机关管辖地迁移办公地点的，迁出地审批机关应当及时将代理记账机构的相关信息及材料移交迁入地审批机关”。第九条“代理记账机构设立分支机构的，分支机构应当及时向其所在地的审批机关办理备案登记。分支机构名称、主管代理记账业务的负责人发生变更的，分支机构应当按照要求向其所在地的审批机关办理变更登记。代理记账机构应当在人事、财务、业务、技术标准、信息管理等方面对其设立的分支机构进行实质性的统一管理，并对分支机构的业务活动、执业质量和债务承担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9" w:hRule="atLeast"/>
          <w:jc w:val="center"/>
        </w:trPr>
        <w:tc>
          <w:tcPr>
            <w:tcW w:w="177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追责情形</w:t>
            </w:r>
          </w:p>
        </w:tc>
        <w:tc>
          <w:tcPr>
            <w:tcW w:w="7224" w:type="dxa"/>
            <w:shd w:val="clear" w:color="auto" w:fill="auto"/>
          </w:tcPr>
          <w:p>
            <w:pPr>
              <w:widowControl/>
              <w:suppressLineNumbers/>
              <w:suppressAutoHyphens/>
              <w:spacing w:line="35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对不履行或不正确履行行政职责的行政机关及其工作人员，依据《中华人民共和国监察法》、《中华人民共和国行政许可法》、《行政机关公务员处分条例》、《公职人员政务处分暂行规定》、《四川省行政审批违法违纪行为责任追究办法》、《代理记账管理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7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监督电话</w:t>
            </w:r>
          </w:p>
        </w:tc>
        <w:tc>
          <w:tcPr>
            <w:tcW w:w="7224" w:type="dxa"/>
            <w:shd w:val="clear" w:color="auto" w:fill="auto"/>
            <w:noWrap/>
            <w:vAlign w:val="center"/>
          </w:tcPr>
          <w:p>
            <w:pPr>
              <w:widowControl/>
              <w:suppressLineNumbers/>
              <w:suppressAutoHyphens/>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028-84384493</w:t>
            </w:r>
          </w:p>
        </w:tc>
      </w:tr>
    </w:tbl>
    <w:p>
      <w:pPr>
        <w:widowControl/>
        <w:spacing w:line="360" w:lineRule="exact"/>
        <w:jc w:val="left"/>
        <w:rPr>
          <w:rFonts w:ascii="Times New Roman" w:hAnsi="Times New Roman" w:eastAsia="方正黑体简体"/>
          <w:sz w:val="32"/>
          <w:szCs w:val="32"/>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rPr>
      </w:pPr>
      <w:r>
        <w:rPr>
          <w:rFonts w:hint="eastAsia" w:ascii="Times New Roman" w:hAnsi="Times New Roman"/>
        </w:rPr>
        <w:t>表2-174</w:t>
      </w:r>
    </w:p>
    <w:tbl>
      <w:tblPr>
        <w:tblStyle w:val="11"/>
        <w:tblW w:w="9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1"/>
        <w:gridCol w:w="72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81"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序    号</w:t>
            </w:r>
          </w:p>
        </w:tc>
        <w:tc>
          <w:tcPr>
            <w:tcW w:w="7248" w:type="dxa"/>
            <w:shd w:val="clear" w:color="auto" w:fill="auto"/>
            <w:noWrap/>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81"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权力类型</w:t>
            </w:r>
          </w:p>
        </w:tc>
        <w:tc>
          <w:tcPr>
            <w:tcW w:w="7248"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781" w:type="dxa"/>
            <w:shd w:val="clear" w:color="auto" w:fill="auto"/>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权力项目</w:t>
            </w:r>
            <w:r>
              <w:rPr>
                <w:rFonts w:hint="eastAsia" w:ascii="Times New Roman" w:hAnsi="Times New Roman" w:cs="宋体" w:eastAsiaTheme="majorEastAsia"/>
                <w:color w:val="000000"/>
                <w:kern w:val="0"/>
                <w:szCs w:val="24"/>
              </w:rPr>
              <w:br w:type="textWrapping"/>
            </w:r>
            <w:r>
              <w:rPr>
                <w:rFonts w:hint="eastAsia" w:ascii="Times New Roman" w:hAnsi="Times New Roman" w:cs="宋体" w:eastAsiaTheme="majorEastAsia"/>
                <w:color w:val="000000"/>
                <w:kern w:val="0"/>
                <w:szCs w:val="24"/>
              </w:rPr>
              <w:t>名    称</w:t>
            </w:r>
          </w:p>
        </w:tc>
        <w:tc>
          <w:tcPr>
            <w:tcW w:w="7248"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直销企业服务网点方案审查和服务网点核查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4" w:hRule="atLeast"/>
          <w:jc w:val="center"/>
        </w:trPr>
        <w:tc>
          <w:tcPr>
            <w:tcW w:w="1781"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实施依据</w:t>
            </w:r>
          </w:p>
        </w:tc>
        <w:tc>
          <w:tcPr>
            <w:tcW w:w="7248" w:type="dxa"/>
            <w:shd w:val="clear" w:color="auto" w:fill="auto"/>
          </w:tcPr>
          <w:p>
            <w:pPr>
              <w:widowControl/>
              <w:spacing w:line="360" w:lineRule="exact"/>
              <w:jc w:val="left"/>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 xml:space="preserve">   1. 《直销管理条例》（2005年8月23日国务院令第443号公布，自2005年12月1日起实施）；2017年3月1日国务院令第676号修订。第七条“申请成为直销企业，应当具备下列条件：（一）投资者具有良好的商业信誉，在提出申请前连续5年没有重大违法经营记录；外国投资者还应当有3年以上在中国境外从事直销活动的经验；（二）实缴注册资本不低于人民币8000万元（三）依照本条例规定在指定银行足额缴纳了保证金；（四）依照规定建立了信息报备和披露制度”、第八条“申请成为直销企业应当填写申请表，并提交下列申请文件、资料：（一）符合本条例第七条规定条件的证明材料；（二）企业章程，属于中外合资、合作企业的，还应当提供合资或者合作企业合同；（三）市场计划报告书，包括依照本条例第十条规定拟定的经当地县级以上人民政府认可的从事直销活动地区的服务网点方案；（四）符合国家标准的产品说明；（五）拟与直销员签订的推销合同样本；（六）会计师事务所出具的验资报告；（七）企业与指定银行达成的同意依照本条例规定使用保证金的协议”。</w:t>
            </w:r>
            <w:r>
              <w:rPr>
                <w:rFonts w:hint="eastAsia" w:ascii="Times New Roman" w:hAnsi="Times New Roman" w:cs="宋体" w:eastAsiaTheme="majorEastAsia"/>
                <w:color w:val="000000"/>
                <w:kern w:val="0"/>
                <w:szCs w:val="24"/>
              </w:rPr>
              <w:br w:type="textWrapping"/>
            </w:r>
            <w:r>
              <w:rPr>
                <w:rFonts w:hint="eastAsia" w:ascii="Times New Roman" w:hAnsi="Times New Roman" w:cs="宋体" w:eastAsiaTheme="majorEastAsia"/>
                <w:color w:val="000000"/>
                <w:kern w:val="0"/>
                <w:szCs w:val="24"/>
              </w:rPr>
              <w:t xml:space="preserve">    2.《直销行业服务网点设立管理办法》（商务部第八次部务会议讨论通过，2006年10月20日起施行。）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781"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责任主体</w:t>
            </w:r>
          </w:p>
        </w:tc>
        <w:tc>
          <w:tcPr>
            <w:tcW w:w="7248"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1781"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责任事项</w:t>
            </w:r>
          </w:p>
        </w:tc>
        <w:tc>
          <w:tcPr>
            <w:tcW w:w="7248" w:type="dxa"/>
            <w:shd w:val="clear" w:color="auto" w:fill="auto"/>
          </w:tcPr>
          <w:p>
            <w:pPr>
              <w:widowControl/>
              <w:spacing w:line="360" w:lineRule="exact"/>
              <w:jc w:val="left"/>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 xml:space="preserve">    1.立项责任：公示应当提交的材料，对书面申请材料进行形式审查，一次性告知补正材料，依法受理或不予受理（不予受理应当告知理由，并告知申请人享有依法申请行政复议或者提起行政诉讼的权力）。</w:t>
            </w:r>
          </w:p>
          <w:p>
            <w:pPr>
              <w:widowControl/>
              <w:spacing w:line="360" w:lineRule="exact"/>
              <w:jc w:val="left"/>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 xml:space="preserve">    2.审查责任：对书面申请材料进行审查，并提出意见。</w:t>
            </w:r>
          </w:p>
          <w:p>
            <w:pPr>
              <w:widowControl/>
              <w:spacing w:line="360" w:lineRule="exact"/>
              <w:jc w:val="left"/>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 xml:space="preserve">    3.批准责任：在规定时间内作出行政许可或不予行政许可的决定（不予行政许可的应当书面告知理由，并告知申请人享有依法申请行政复议或者提起行政诉讼的权力）。</w:t>
            </w:r>
          </w:p>
          <w:p>
            <w:pPr>
              <w:widowControl/>
              <w:spacing w:line="360" w:lineRule="exact"/>
              <w:jc w:val="left"/>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 xml:space="preserve">    4.发布备案责任：通过直销行业管理网站公布直销企业可从事直销业务的地区及服务网点。</w:t>
            </w:r>
          </w:p>
          <w:p>
            <w:pPr>
              <w:widowControl/>
              <w:spacing w:line="360" w:lineRule="exact"/>
              <w:jc w:val="left"/>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 xml:space="preserve">    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atLeast"/>
          <w:jc w:val="center"/>
        </w:trPr>
        <w:tc>
          <w:tcPr>
            <w:tcW w:w="1781"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责任事项依据</w:t>
            </w:r>
          </w:p>
        </w:tc>
        <w:tc>
          <w:tcPr>
            <w:tcW w:w="7248" w:type="dxa"/>
            <w:shd w:val="clear" w:color="auto" w:fill="auto"/>
          </w:tcPr>
          <w:p>
            <w:pPr>
              <w:widowControl/>
              <w:spacing w:line="360" w:lineRule="exact"/>
              <w:jc w:val="left"/>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 xml:space="preserve">    1.《直销行业服务网点设立管理办法》第六条“有关省、自治区、直辖市商务主管部门应会同服务网点所在地的区/县级以上（含县级）商务主管部门，根据《条例》及有关规定对直销企业在该省、自治区、直辖市内已设立的服务网点进行核查，并将全省、自治区、直辖市核查结果一次性报商务部备案。商务部备案后通过直销行业管理网站公布直销企业可从事直销业务的地区及服务网点。直销企业不得在未完成核查和备案前开展直销活动”。</w:t>
            </w:r>
            <w:r>
              <w:rPr>
                <w:rFonts w:hint="eastAsia" w:ascii="Times New Roman" w:hAnsi="Times New Roman" w:cs="宋体" w:eastAsiaTheme="majorEastAsia"/>
                <w:color w:val="000000"/>
                <w:kern w:val="0"/>
                <w:szCs w:val="24"/>
              </w:rPr>
              <w:br w:type="textWrapping"/>
            </w:r>
            <w:r>
              <w:rPr>
                <w:rFonts w:hint="eastAsia" w:ascii="Times New Roman" w:hAnsi="Times New Roman" w:cs="宋体" w:eastAsiaTheme="majorEastAsia"/>
                <w:color w:val="000000"/>
                <w:kern w:val="0"/>
                <w:szCs w:val="24"/>
              </w:rPr>
              <w:t xml:space="preserve">    2.同上。</w:t>
            </w:r>
            <w:r>
              <w:rPr>
                <w:rFonts w:hint="eastAsia" w:ascii="Times New Roman" w:hAnsi="Times New Roman" w:cs="宋体" w:eastAsiaTheme="majorEastAsia"/>
                <w:color w:val="000000"/>
                <w:kern w:val="0"/>
                <w:szCs w:val="24"/>
              </w:rPr>
              <w:br w:type="textWrapping"/>
            </w:r>
            <w:r>
              <w:rPr>
                <w:rFonts w:hint="eastAsia" w:ascii="Times New Roman" w:hAnsi="Times New Roman" w:cs="宋体" w:eastAsiaTheme="majorEastAsia"/>
                <w:color w:val="000000"/>
                <w:kern w:val="0"/>
                <w:szCs w:val="24"/>
              </w:rPr>
              <w:t xml:space="preserve">    3.同上。</w:t>
            </w:r>
            <w:r>
              <w:rPr>
                <w:rFonts w:hint="eastAsia" w:ascii="Times New Roman" w:hAnsi="Times New Roman" w:cs="宋体" w:eastAsiaTheme="majorEastAsia"/>
                <w:color w:val="000000"/>
                <w:kern w:val="0"/>
                <w:szCs w:val="24"/>
              </w:rPr>
              <w:br w:type="textWrapping"/>
            </w:r>
            <w:r>
              <w:rPr>
                <w:rFonts w:hint="eastAsia" w:ascii="Times New Roman" w:hAnsi="Times New Roman" w:cs="宋体" w:eastAsiaTheme="majorEastAsia"/>
                <w:color w:val="000000"/>
                <w:kern w:val="0"/>
                <w:szCs w:val="24"/>
              </w:rPr>
              <w:t xml:space="preserve">    4.同上。</w:t>
            </w:r>
            <w:r>
              <w:rPr>
                <w:rFonts w:ascii="Times New Roman" w:hAnsi="Times New Roman" w:cs="宋体" w:eastAsiaTheme="majorEastAsia"/>
                <w:color w:val="000000"/>
                <w:kern w:val="0"/>
                <w:szCs w:val="24"/>
              </w:rPr>
              <w:br w:type="textWrapping"/>
            </w:r>
            <w:r>
              <w:rPr>
                <w:rFonts w:hint="eastAsia" w:ascii="Times New Roman" w:hAnsi="Times New Roman" w:cs="宋体" w:eastAsiaTheme="majorEastAsia"/>
                <w:color w:val="000000"/>
                <w:kern w:val="0"/>
                <w:szCs w:val="24"/>
              </w:rPr>
              <w:t xml:space="preserve">    5.同上。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1781"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追责情形</w:t>
            </w:r>
          </w:p>
        </w:tc>
        <w:tc>
          <w:tcPr>
            <w:tcW w:w="7248" w:type="dxa"/>
            <w:shd w:val="clear" w:color="auto" w:fill="auto"/>
          </w:tcPr>
          <w:p>
            <w:pPr>
              <w:widowControl/>
              <w:spacing w:line="360" w:lineRule="exact"/>
              <w:jc w:val="left"/>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 xml:space="preserve">    对不履行或不正确履行行政职责的行政机关及其工作人员，依据《中华人民共和国监察法》、《中华人民共和国行政许可法》、《行政机关公务员处分条例》、《公职人员政务处分暂行规定》、《四川省行政审批违法违纪行为责任追究办法》、《直销管理条例》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81"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监督电话</w:t>
            </w:r>
          </w:p>
        </w:tc>
        <w:tc>
          <w:tcPr>
            <w:tcW w:w="7248"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4"/>
              </w:rPr>
            </w:pPr>
            <w:r>
              <w:rPr>
                <w:rFonts w:hint="eastAsia" w:ascii="Times New Roman" w:hAnsi="Times New Roman" w:cs="宋体" w:eastAsiaTheme="majorEastAsia"/>
                <w:color w:val="000000"/>
                <w:kern w:val="0"/>
                <w:szCs w:val="24"/>
              </w:rPr>
              <w:t>028-84384493</w:t>
            </w:r>
          </w:p>
        </w:tc>
      </w:tr>
    </w:tbl>
    <w:p>
      <w:pPr>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表2-175</w:t>
      </w:r>
    </w:p>
    <w:tbl>
      <w:tblPr>
        <w:tblStyle w:val="11"/>
        <w:tblpPr w:leftFromText="180" w:rightFromText="180" w:vertAnchor="text" w:horzAnchor="margin" w:tblpXSpec="center" w:tblpY="286"/>
        <w:tblW w:w="8578" w:type="dxa"/>
        <w:tblInd w:w="0" w:type="dxa"/>
        <w:tblLayout w:type="autofit"/>
        <w:tblCellMar>
          <w:top w:w="0" w:type="dxa"/>
          <w:left w:w="108" w:type="dxa"/>
          <w:bottom w:w="0" w:type="dxa"/>
          <w:right w:w="108" w:type="dxa"/>
        </w:tblCellMar>
      </w:tblPr>
      <w:tblGrid>
        <w:gridCol w:w="1692"/>
        <w:gridCol w:w="6886"/>
      </w:tblGrid>
      <w:tr>
        <w:tblPrEx>
          <w:tblCellMar>
            <w:top w:w="0" w:type="dxa"/>
            <w:left w:w="108" w:type="dxa"/>
            <w:bottom w:w="0" w:type="dxa"/>
            <w:right w:w="108" w:type="dxa"/>
          </w:tblCellMar>
        </w:tblPrEx>
        <w:trPr>
          <w:trHeight w:val="411" w:hRule="atLeast"/>
        </w:trPr>
        <w:tc>
          <w:tcPr>
            <w:tcW w:w="169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序    号</w:t>
            </w:r>
          </w:p>
        </w:tc>
        <w:tc>
          <w:tcPr>
            <w:tcW w:w="6886" w:type="dxa"/>
            <w:tcBorders>
              <w:top w:val="single" w:color="auto" w:sz="4" w:space="0"/>
              <w:left w:val="nil"/>
              <w:bottom w:val="single" w:color="auto" w:sz="4" w:space="0"/>
              <w:right w:val="single" w:color="auto" w:sz="4" w:space="0"/>
            </w:tcBorders>
            <w:shd w:val="clear" w:color="auto" w:fill="auto"/>
            <w:noWrap/>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6</w:t>
            </w:r>
          </w:p>
        </w:tc>
      </w:tr>
      <w:tr>
        <w:tblPrEx>
          <w:tblCellMar>
            <w:top w:w="0" w:type="dxa"/>
            <w:left w:w="108" w:type="dxa"/>
            <w:bottom w:w="0" w:type="dxa"/>
            <w:right w:w="108" w:type="dxa"/>
          </w:tblCellMar>
        </w:tblPrEx>
        <w:trPr>
          <w:trHeight w:val="411" w:hRule="atLeast"/>
        </w:trPr>
        <w:tc>
          <w:tcPr>
            <w:tcW w:w="169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权力类型</w:t>
            </w:r>
          </w:p>
        </w:tc>
        <w:tc>
          <w:tcPr>
            <w:tcW w:w="688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其他行政权力</w:t>
            </w:r>
          </w:p>
        </w:tc>
      </w:tr>
      <w:tr>
        <w:tblPrEx>
          <w:tblCellMar>
            <w:top w:w="0" w:type="dxa"/>
            <w:left w:w="108" w:type="dxa"/>
            <w:bottom w:w="0" w:type="dxa"/>
            <w:right w:w="108" w:type="dxa"/>
          </w:tblCellMar>
        </w:tblPrEx>
        <w:trPr>
          <w:trHeight w:val="596" w:hRule="atLeast"/>
        </w:trPr>
        <w:tc>
          <w:tcPr>
            <w:tcW w:w="1692"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权力项目</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名    称</w:t>
            </w:r>
          </w:p>
        </w:tc>
        <w:tc>
          <w:tcPr>
            <w:tcW w:w="688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洗染业经营者备案</w:t>
            </w:r>
          </w:p>
        </w:tc>
      </w:tr>
      <w:tr>
        <w:tblPrEx>
          <w:tblCellMar>
            <w:top w:w="0" w:type="dxa"/>
            <w:left w:w="108" w:type="dxa"/>
            <w:bottom w:w="0" w:type="dxa"/>
            <w:right w:w="108" w:type="dxa"/>
          </w:tblCellMar>
        </w:tblPrEx>
        <w:trPr>
          <w:trHeight w:val="1985" w:hRule="atLeast"/>
        </w:trPr>
        <w:tc>
          <w:tcPr>
            <w:tcW w:w="169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实施依据</w:t>
            </w:r>
          </w:p>
        </w:tc>
        <w:tc>
          <w:tcPr>
            <w:tcW w:w="6886" w:type="dxa"/>
            <w:tcBorders>
              <w:top w:val="nil"/>
              <w:left w:val="nil"/>
              <w:bottom w:val="single" w:color="auto" w:sz="4" w:space="0"/>
              <w:right w:val="single" w:color="auto" w:sz="4" w:space="0"/>
            </w:tcBorders>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《洗染业管理办法》（商务部2007年第5号令）第五条“经营者应当在取得营业执照后60日内，向登记注册地工商行政管理部门的同级商务主管部门办理备案”。</w:t>
            </w:r>
            <w:r>
              <w:rPr>
                <w:rFonts w:hint="eastAsia" w:ascii="Times New Roman" w:hAnsi="Times New Roman" w:cs="宋体" w:eastAsiaTheme="minorEastAsia"/>
                <w:color w:val="000000"/>
                <w:kern w:val="0"/>
                <w:szCs w:val="21"/>
              </w:rPr>
              <w:br w:type="textWrapping"/>
            </w:r>
            <w:r>
              <w:rPr>
                <w:rFonts w:hint="eastAsia" w:ascii="Times New Roman" w:hAnsi="Times New Roman" w:cs="宋体" w:eastAsiaTheme="minorEastAsia"/>
                <w:color w:val="000000"/>
                <w:kern w:val="0"/>
                <w:szCs w:val="21"/>
              </w:rPr>
              <w:t xml:space="preserve">   《四川省洗染业经营者备案实施办法》（川商改【2007】46号）第四条“从事衣物洗涤、熨烫、染色、织补以及皮革制品和裘皮服装的清洗、保养等经营活动的经营者，应当在取得营业执照后60日内向登记注册地工商行政管理部门的同级商务主管部门办理备案”。</w:t>
            </w:r>
          </w:p>
        </w:tc>
      </w:tr>
      <w:tr>
        <w:tblPrEx>
          <w:tblCellMar>
            <w:top w:w="0" w:type="dxa"/>
            <w:left w:w="108" w:type="dxa"/>
            <w:bottom w:w="0" w:type="dxa"/>
            <w:right w:w="108" w:type="dxa"/>
          </w:tblCellMar>
        </w:tblPrEx>
        <w:trPr>
          <w:trHeight w:val="411" w:hRule="atLeast"/>
        </w:trPr>
        <w:tc>
          <w:tcPr>
            <w:tcW w:w="169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责任主体</w:t>
            </w:r>
          </w:p>
        </w:tc>
        <w:tc>
          <w:tcPr>
            <w:tcW w:w="688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成都市成华区行政审批局</w:t>
            </w:r>
          </w:p>
        </w:tc>
      </w:tr>
      <w:tr>
        <w:tblPrEx>
          <w:tblCellMar>
            <w:top w:w="0" w:type="dxa"/>
            <w:left w:w="108" w:type="dxa"/>
            <w:bottom w:w="0" w:type="dxa"/>
            <w:right w:w="108" w:type="dxa"/>
          </w:tblCellMar>
        </w:tblPrEx>
        <w:trPr>
          <w:trHeight w:val="2283" w:hRule="atLeast"/>
        </w:trPr>
        <w:tc>
          <w:tcPr>
            <w:tcW w:w="169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责任事项</w:t>
            </w:r>
          </w:p>
        </w:tc>
        <w:tc>
          <w:tcPr>
            <w:tcW w:w="6886" w:type="dxa"/>
            <w:tcBorders>
              <w:top w:val="nil"/>
              <w:left w:val="nil"/>
              <w:bottom w:val="single" w:color="auto" w:sz="4" w:space="0"/>
              <w:right w:val="single" w:color="auto" w:sz="4" w:space="0"/>
            </w:tcBorders>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1.立项责任：公示应当提交的材料，对书面申请材料进行形式审查，一次性告知补正材料，依法受理或不予受理（不予受理应当告知理由，并告知申请人享有依法申请行政复议或者提起行政诉讼的权力）。</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2.审查责任：对书面申请材料进行审查，并提出意见。</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3.批准责任：在规定时间内作出行政许可或不予行政许可的决定（不予行政许可的应当书面告知理由，并告知申请人享有依法申请行政复议或者提起行政诉讼的权力）。</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4.发布备案责任：完整准确地记录和保存备案信息材料，依法保守商业秘密。</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5.其它责任：法律法规规定应履行的其它责任。</w:t>
            </w:r>
          </w:p>
        </w:tc>
      </w:tr>
      <w:tr>
        <w:tblPrEx>
          <w:tblCellMar>
            <w:top w:w="0" w:type="dxa"/>
            <w:left w:w="108" w:type="dxa"/>
            <w:bottom w:w="0" w:type="dxa"/>
            <w:right w:w="108" w:type="dxa"/>
          </w:tblCellMar>
        </w:tblPrEx>
        <w:trPr>
          <w:trHeight w:val="2542" w:hRule="atLeast"/>
        </w:trPr>
        <w:tc>
          <w:tcPr>
            <w:tcW w:w="169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责任事项依据</w:t>
            </w:r>
          </w:p>
        </w:tc>
        <w:tc>
          <w:tcPr>
            <w:tcW w:w="6886" w:type="dxa"/>
            <w:tcBorders>
              <w:top w:val="nil"/>
              <w:left w:val="nil"/>
              <w:bottom w:val="single" w:color="auto" w:sz="4" w:space="0"/>
              <w:right w:val="single" w:color="auto" w:sz="4" w:space="0"/>
            </w:tcBorders>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1.《四川省洗染业经营者备案实施办法》第七条“备案机关应当自收到经营者提交的符合本办法第五条规定的材料之日起5个工作日内予以备案，核发《四川省洗染业经营者备案证明》（以下简称《备案证明》）。不予备案的，应说明原因。《备案证明》应当包括经营者名称、法定代表人、工商登记注册号、工商登记时间、经营住所、注册资本、企业类型等内容”。</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2.同上。</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3.同上。</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4.《四川省洗染业经营者备案实施办法》第十三条备案机关应当完整准确地记录和保存经营者的备案信息材料，依法为经营者保守商业秘密。</w:t>
            </w:r>
          </w:p>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5.《四川省洗染业经营者备案实施办法》第八条“县级以上商务主管部门核发的《备案证明》应当按照统一规则进行编号。编号由四川省行政区代码和顺序号两部分组成，共11位数。前6位数为所在地区的国家标准地区代码，后5位数为顺序号，按办理备案的先后顺序依次编排”、第九条“《备案证明》毁损或遗失的，经营者应在30日内，填写《四川省洗染业经营者备案证明补发申请书》（格式附后），并提供营业执照副本及复印件，向原办理备案的商务主管部门申请作废和补发”、第十条“备案信息发生变化的，经营者应当自变化之日起30日内，填写《四川省洗染业经营者备案变更申请表》（格式附后），并提供营业执照副本及复印件和原备案证明，向办理备案的商务主管部门申请换发《备案证明》。终止经营的，经营者应在办理工商注销登记后30日内，将《备案证明》交回原备案商务主管部门。逾期未交回的，由商务主管部门公告作废”。</w:t>
            </w:r>
          </w:p>
        </w:tc>
      </w:tr>
      <w:tr>
        <w:tblPrEx>
          <w:tblCellMar>
            <w:top w:w="0" w:type="dxa"/>
            <w:left w:w="108" w:type="dxa"/>
            <w:bottom w:w="0" w:type="dxa"/>
            <w:right w:w="108" w:type="dxa"/>
          </w:tblCellMar>
        </w:tblPrEx>
        <w:trPr>
          <w:trHeight w:val="1988" w:hRule="atLeast"/>
        </w:trPr>
        <w:tc>
          <w:tcPr>
            <w:tcW w:w="169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追责情形</w:t>
            </w:r>
          </w:p>
        </w:tc>
        <w:tc>
          <w:tcPr>
            <w:tcW w:w="6886" w:type="dxa"/>
            <w:tcBorders>
              <w:top w:val="nil"/>
              <w:left w:val="nil"/>
              <w:bottom w:val="single" w:color="auto" w:sz="4" w:space="0"/>
              <w:right w:val="single" w:color="auto" w:sz="4" w:space="0"/>
            </w:tcBorders>
            <w:shd w:val="clear" w:color="auto" w:fill="auto"/>
          </w:tcPr>
          <w:p>
            <w:pPr>
              <w:widowControl/>
              <w:spacing w:line="360" w:lineRule="exact"/>
              <w:jc w:val="left"/>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 xml:space="preserve">    对不履行或不正确履行行政职责的行政机关及其工作人员，依据《中华人民共和国监察法》《中华人民共和国行政许可法》《行政机关公务员处分条例》《公职人员政务处分暂行规定》《四川省行政审批违法违纪行为责任追究办法》、《四川省洗染业经营者备案实施办法》等法律法规规章的相关规定追究相应的责任。</w:t>
            </w:r>
          </w:p>
        </w:tc>
      </w:tr>
      <w:tr>
        <w:tblPrEx>
          <w:tblCellMar>
            <w:top w:w="0" w:type="dxa"/>
            <w:left w:w="108" w:type="dxa"/>
            <w:bottom w:w="0" w:type="dxa"/>
            <w:right w:w="108" w:type="dxa"/>
          </w:tblCellMar>
        </w:tblPrEx>
        <w:trPr>
          <w:trHeight w:val="411" w:hRule="atLeast"/>
        </w:trPr>
        <w:tc>
          <w:tcPr>
            <w:tcW w:w="1692"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监督电话</w:t>
            </w:r>
          </w:p>
        </w:tc>
        <w:tc>
          <w:tcPr>
            <w:tcW w:w="688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Times New Roman" w:hAnsi="Times New Roman" w:cs="宋体" w:eastAsiaTheme="minorEastAsia"/>
                <w:color w:val="000000"/>
                <w:kern w:val="0"/>
                <w:szCs w:val="21"/>
              </w:rPr>
            </w:pPr>
            <w:r>
              <w:rPr>
                <w:rFonts w:hint="eastAsia" w:ascii="Times New Roman" w:hAnsi="Times New Roman" w:cs="宋体" w:eastAsiaTheme="minorEastAsia"/>
                <w:color w:val="000000"/>
                <w:kern w:val="0"/>
                <w:szCs w:val="21"/>
              </w:rPr>
              <w:t>028-84384493</w:t>
            </w:r>
          </w:p>
        </w:tc>
      </w:tr>
    </w:tbl>
    <w:p>
      <w:pPr>
        <w:widowControl/>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r>
        <w:rPr>
          <w:rFonts w:ascii="Times New Roman" w:hAnsi="Times New Roman" w:eastAsia="方正黑体简体"/>
          <w:sz w:val="32"/>
          <w:szCs w:val="32"/>
        </w:rPr>
        <w:br w:type="page"/>
      </w:r>
    </w:p>
    <w:p>
      <w:pPr>
        <w:pStyle w:val="3"/>
        <w:spacing w:line="360" w:lineRule="exact"/>
        <w:rPr>
          <w:rFonts w:ascii="Times New Roman" w:hAnsi="Times New Roman"/>
        </w:rPr>
      </w:pPr>
      <w:r>
        <w:rPr>
          <w:rFonts w:hint="eastAsia" w:ascii="Times New Roman" w:hAnsi="Times New Roman"/>
        </w:rPr>
        <w:t>表2-176</w:t>
      </w:r>
    </w:p>
    <w:tbl>
      <w:tblPr>
        <w:tblStyle w:val="11"/>
        <w:tblW w:w="97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7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927"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序    号</w:t>
            </w:r>
          </w:p>
        </w:tc>
        <w:tc>
          <w:tcPr>
            <w:tcW w:w="7844" w:type="dxa"/>
            <w:shd w:val="clear" w:color="auto" w:fill="auto"/>
            <w:noWrap/>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927"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权力类型</w:t>
            </w:r>
          </w:p>
        </w:tc>
        <w:tc>
          <w:tcPr>
            <w:tcW w:w="7844"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927" w:type="dxa"/>
            <w:shd w:val="clear" w:color="auto" w:fill="auto"/>
            <w:vAlign w:val="center"/>
          </w:tcPr>
          <w:p>
            <w:pPr>
              <w:spacing w:line="360" w:lineRule="exact"/>
              <w:jc w:val="center"/>
              <w:rPr>
                <w:rFonts w:ascii="Times New Roman" w:hAnsi="Times New Roman"/>
                <w:szCs w:val="21"/>
              </w:rPr>
            </w:pPr>
            <w:r>
              <w:rPr>
                <w:rFonts w:hint="eastAsia" w:ascii="Times New Roman" w:hAnsi="Times New Roman"/>
                <w:szCs w:val="21"/>
              </w:rPr>
              <w:t>权力项目名称</w:t>
            </w:r>
          </w:p>
        </w:tc>
        <w:tc>
          <w:tcPr>
            <w:tcW w:w="7844"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粮食收购企业备案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atLeast"/>
          <w:jc w:val="center"/>
        </w:trPr>
        <w:tc>
          <w:tcPr>
            <w:tcW w:w="1927"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实施依据</w:t>
            </w:r>
          </w:p>
        </w:tc>
        <w:tc>
          <w:tcPr>
            <w:tcW w:w="7844" w:type="dxa"/>
            <w:shd w:val="clear" w:color="auto" w:fill="auto"/>
          </w:tcPr>
          <w:p>
            <w:pPr>
              <w:widowControl/>
              <w:spacing w:line="36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《粮食流通管理条例》第九条　从事粮食收购的经营者（以下简称粮食收购者），应当具备与其收购粮食品种、数量相适应的能力。</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从事粮食收购的企业（以下简称粮食收购企业），应当向收购地的县级人民政府粮食和储备行政管理部门备案企业名称、地址、负责人以及仓储设施等信息，备案内容发生变化的，应当及时变更备案。县级以上地方人民政府粮食和储备行政管理部门应当加强粮食收购管理和服务，规范粮食收购活动。具体管理办法由省、自治区、直辖市人民政府制定。</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927"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责任主体</w:t>
            </w:r>
          </w:p>
        </w:tc>
        <w:tc>
          <w:tcPr>
            <w:tcW w:w="7844"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6" w:hRule="atLeast"/>
          <w:jc w:val="center"/>
        </w:trPr>
        <w:tc>
          <w:tcPr>
            <w:tcW w:w="1927"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w:t>
            </w:r>
          </w:p>
        </w:tc>
        <w:tc>
          <w:tcPr>
            <w:tcW w:w="7844" w:type="dxa"/>
            <w:shd w:val="clear" w:color="auto" w:fill="auto"/>
          </w:tcPr>
          <w:p>
            <w:pPr>
              <w:widowControl/>
              <w:spacing w:line="360" w:lineRule="exac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1.立项责任：公示应当提交的材料，对书面申请材料进行形式审查，一次性告知补正材料，依法受理或不予受理（不予受理应当告知理由，并告知申请人享有依法申请行政复议或者提起行政诉讼的权力）。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2.审查责任：对书面申请材料进行审查，并提出意见。</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3.批准责任：在规定时间内作出行政许可或不予行政许可的决定（不予行政许可的应当书面告知理由，并告知申请人享有依法申请行政复议或者提起行政诉讼的权力）。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4.发布备案责任：建立粮食收购企业备案档案，依法向社会公示。</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1927"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责任事项依据</w:t>
            </w:r>
          </w:p>
        </w:tc>
        <w:tc>
          <w:tcPr>
            <w:tcW w:w="7844" w:type="dxa"/>
            <w:shd w:val="clear" w:color="auto" w:fill="auto"/>
          </w:tcPr>
          <w:p>
            <w:pPr>
              <w:widowControl/>
              <w:spacing w:line="36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1.《粮食流通管理条例》第九条从事粮食收购的经营者（以下简称粮食收购者），应当具备与其收购粮食品种、数量相适应的能力。从事粮食收购的企业（以下简称粮食收购企业），应当向收购地的县级人民政府粮食和储备行政管理部门备案企业名称、地址、负责人以及仓储设施等信息，备案内容发生变化的，应当及时变更备案。县级以上地方人民政府粮食和储备行政管理部门应当加强粮食收购管理和服务，规范粮食收购活动。具体管理办法由省、自治区、直辖市人民政府制定。</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2.同上。</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3.同上。</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4.《粮食流通管理条例》第二十四条县级以上人民政府粮食和储备行政管理部门应当建立粮食经营者信用档案，记录日常监督检查结果、违法行为查处情况，并依法向社会公示。</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5.《粮食流通管理条例》第九条从事粮食收购的经营者（以下简称粮食收购者），应当具备与其收购粮食品种、数量相适应的能力。</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从事粮食收购的企业（以下简称粮食收购企业），应当向收购地的县级人民政府粮食和储备行政管理部门备案企业名称、地址、负责人以及仓储设施等信息，备案内容发生变化的，应当及时变更备案。县级以上地方人民政府粮食和储备行政管理部门应当加强粮食收购管理和服务，规范粮食收购活动。具体管理办法由省、自治区、直辖市人民政府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jc w:val="center"/>
        </w:trPr>
        <w:tc>
          <w:tcPr>
            <w:tcW w:w="1927"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追责情形</w:t>
            </w:r>
          </w:p>
        </w:tc>
        <w:tc>
          <w:tcPr>
            <w:tcW w:w="7844" w:type="dxa"/>
            <w:shd w:val="clear" w:color="auto" w:fill="auto"/>
          </w:tcPr>
          <w:p>
            <w:pPr>
              <w:widowControl/>
              <w:spacing w:line="36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对不履行或不正确履行行政职责的行政机关及其工作人员，依据《中华人民共和国监察法》、《中华人民共和国行政许可法》、《行政机关公务员处分条例》、《公职人员政务处分暂行规定》、《四川省行政审批违法违纪行为责任追究办法》、《粮食流通管理条例》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927"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监督电话</w:t>
            </w:r>
          </w:p>
        </w:tc>
        <w:tc>
          <w:tcPr>
            <w:tcW w:w="7844"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028-84384493</w:t>
            </w:r>
          </w:p>
        </w:tc>
      </w:tr>
    </w:tbl>
    <w:p>
      <w:pPr>
        <w:widowControl/>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eastAsia="方正黑体简体"/>
          <w:sz w:val="32"/>
          <w:szCs w:val="32"/>
        </w:rPr>
      </w:pPr>
    </w:p>
    <w:p>
      <w:pPr>
        <w:widowControl/>
        <w:spacing w:line="360" w:lineRule="exact"/>
        <w:jc w:val="left"/>
        <w:rPr>
          <w:rFonts w:ascii="Times New Roman" w:hAnsi="Times New Roman"/>
        </w:rPr>
      </w:pPr>
      <w:r>
        <w:rPr>
          <w:rFonts w:ascii="Times New Roman" w:hAnsi="Times New Roman"/>
        </w:rPr>
        <w:br w:type="page"/>
      </w:r>
    </w:p>
    <w:p>
      <w:pPr>
        <w:pStyle w:val="3"/>
        <w:spacing w:line="360" w:lineRule="exact"/>
        <w:rPr>
          <w:rFonts w:ascii="Times New Roman" w:hAnsi="Times New Roman"/>
        </w:rPr>
      </w:pPr>
      <w:r>
        <w:rPr>
          <w:rFonts w:hint="eastAsia" w:ascii="Times New Roman" w:hAnsi="Times New Roman"/>
        </w:rPr>
        <w:t>表2-177</w:t>
      </w:r>
    </w:p>
    <w:tbl>
      <w:tblPr>
        <w:tblStyle w:val="11"/>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0"/>
        <w:gridCol w:w="8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00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序    号</w:t>
            </w:r>
          </w:p>
        </w:tc>
        <w:tc>
          <w:tcPr>
            <w:tcW w:w="8140" w:type="dxa"/>
            <w:shd w:val="clear" w:color="auto" w:fill="auto"/>
            <w:noWrap/>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00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权力类型</w:t>
            </w:r>
          </w:p>
        </w:tc>
        <w:tc>
          <w:tcPr>
            <w:tcW w:w="814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000" w:type="dxa"/>
            <w:shd w:val="clear" w:color="auto" w:fill="auto"/>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权力项目名称</w:t>
            </w:r>
          </w:p>
        </w:tc>
        <w:tc>
          <w:tcPr>
            <w:tcW w:w="814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燃气经营者停业、歇业审批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10" w:hRule="atLeast"/>
          <w:jc w:val="center"/>
        </w:trPr>
        <w:tc>
          <w:tcPr>
            <w:tcW w:w="200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实施依据</w:t>
            </w:r>
          </w:p>
        </w:tc>
        <w:tc>
          <w:tcPr>
            <w:tcW w:w="8140" w:type="dxa"/>
            <w:shd w:val="clear" w:color="auto" w:fill="auto"/>
          </w:tcPr>
          <w:p>
            <w:pPr>
              <w:widowControl/>
              <w:spacing w:line="36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《城镇燃气管理条例》第二十条 燃气经营者停业、歇业的，应当事先对其供气范围内的燃气用户的正常用气作出妥善安排，并在90个工作日前向所在地燃气管理部门报告，经批准方可停业、歇业。</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w:t>
            </w:r>
            <w:r>
              <w:rPr>
                <w:rFonts w:hint="eastAsia" w:ascii="Times New Roman" w:hAnsi="Times New Roman" w:cs="宋体" w:eastAsiaTheme="majorEastAsia"/>
                <w:color w:val="000000"/>
                <w:kern w:val="0"/>
                <w:szCs w:val="21"/>
                <w:lang w:eastAsia="zh-CN"/>
              </w:rPr>
              <w:t>《成都市燃气管理条例》</w:t>
            </w:r>
            <w:r>
              <w:rPr>
                <w:rFonts w:hint="eastAsia" w:ascii="Times New Roman" w:hAnsi="Times New Roman" w:cs="宋体" w:eastAsiaTheme="majorEastAsia"/>
                <w:color w:val="000000"/>
                <w:kern w:val="0"/>
                <w:szCs w:val="21"/>
              </w:rPr>
              <w:t>第二十二条 管道燃气经营者因施工、检修等原因需要临时调整供气量或者暂停供气的，应当将作业时间和影响区域提前四十八小时予以公告或者书面通知燃气用户，并按照有关规定及时恢复正常供气；因突发事件影响供气的，应当采取紧急措施并及时通知燃气用户。燃气经营者停业、歇业的，应当事先对其供气范围内的燃气用户的正常用气制定安排方案，并在九十个工作日前向所在地燃气管理部门报告，经批准方可停业、歇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00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责任主体</w:t>
            </w:r>
          </w:p>
        </w:tc>
        <w:tc>
          <w:tcPr>
            <w:tcW w:w="814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0" w:hRule="atLeast"/>
          <w:jc w:val="center"/>
        </w:trPr>
        <w:tc>
          <w:tcPr>
            <w:tcW w:w="200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w:t>
            </w:r>
          </w:p>
        </w:tc>
        <w:tc>
          <w:tcPr>
            <w:tcW w:w="8140" w:type="dxa"/>
            <w:shd w:val="clear" w:color="auto" w:fill="auto"/>
          </w:tcPr>
          <w:p>
            <w:pPr>
              <w:widowControl/>
              <w:spacing w:line="36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1.立项责任：公示应当提交的材料，对书面申请材料进行形式审查，一次性告知补正材料，依法受理或不予受理（不予受理应当告知理由，并告知申请人享有依法申请行政复议或者提起行政诉讼的权力）。</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2.审查责任：对书面申请材料进行审查，并提出意见。</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3.批准责任：在规定时间内作出行政许可或不予行政许可的决定（不予行政许可的应当书面告知理由，并告知申请人享有依法申请行政复议或者提起行政诉讼的权力）。</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4.发布备案责任：会同城乡规划等有关部门按照国家有关标准和规定划定燃气设施保护范围，并向社会公布。</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5" w:hRule="atLeast"/>
          <w:jc w:val="center"/>
        </w:trPr>
        <w:tc>
          <w:tcPr>
            <w:tcW w:w="200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责任事项依据</w:t>
            </w:r>
          </w:p>
        </w:tc>
        <w:tc>
          <w:tcPr>
            <w:tcW w:w="8140" w:type="dxa"/>
            <w:shd w:val="clear" w:color="auto" w:fill="auto"/>
          </w:tcPr>
          <w:p>
            <w:pPr>
              <w:widowControl/>
              <w:spacing w:line="36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1.《城镇燃气管理条例》第二十条 燃气经营者停业、歇业的，应当事先对其供气范围内的燃气用户的正常用气作出妥善安排，并在90个工作日前向所在地燃气管理部门报告，经批准方可停业、歇业。</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2.同上。</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3.同上。</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4.《城镇燃气管理条例》第三十三条县级以上地方人民政府燃气管理部门应当会同城乡规划等有关部门按照国家有关标准和规定划定燃气设施保护范围，并向社会公布。</w:t>
            </w:r>
            <w:r>
              <w:rPr>
                <w:rFonts w:hint="eastAsia" w:ascii="Times New Roman" w:hAnsi="Times New Roman" w:cs="宋体" w:eastAsiaTheme="majorEastAsia"/>
                <w:color w:val="000000"/>
                <w:kern w:val="0"/>
                <w:szCs w:val="21"/>
              </w:rPr>
              <w:br w:type="textWrapping"/>
            </w:r>
            <w:r>
              <w:rPr>
                <w:rFonts w:hint="eastAsia" w:ascii="Times New Roman" w:hAnsi="Times New Roman" w:cs="宋体" w:eastAsiaTheme="majorEastAsia"/>
                <w:color w:val="000000"/>
                <w:kern w:val="0"/>
                <w:szCs w:val="21"/>
              </w:rPr>
              <w:t xml:space="preserve">    5.同上。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30" w:hRule="atLeast"/>
          <w:jc w:val="center"/>
        </w:trPr>
        <w:tc>
          <w:tcPr>
            <w:tcW w:w="200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追责情形</w:t>
            </w:r>
          </w:p>
        </w:tc>
        <w:tc>
          <w:tcPr>
            <w:tcW w:w="8140" w:type="dxa"/>
            <w:shd w:val="clear" w:color="auto" w:fill="auto"/>
          </w:tcPr>
          <w:p>
            <w:pPr>
              <w:widowControl/>
              <w:spacing w:line="360" w:lineRule="exact"/>
              <w:jc w:val="left"/>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 xml:space="preserve">    对不履行或不正确履行行政职责的行政机关及其工作人员，依据《中华人民共和国监察法》、《中华人民共和国行政许可法》、《行政机关公务员处分条例》、《公职人员政务处分暂行规定》、《四川省行政审批违法违纪行为责任追究办法》、《燃气经营许可管理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00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监督电话</w:t>
            </w:r>
          </w:p>
        </w:tc>
        <w:tc>
          <w:tcPr>
            <w:tcW w:w="8140" w:type="dxa"/>
            <w:shd w:val="clear" w:color="auto" w:fill="auto"/>
            <w:noWrap/>
            <w:vAlign w:val="center"/>
          </w:tcPr>
          <w:p>
            <w:pPr>
              <w:widowControl/>
              <w:spacing w:line="360" w:lineRule="exact"/>
              <w:jc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028-84384493</w:t>
            </w:r>
          </w:p>
        </w:tc>
      </w:tr>
    </w:tbl>
    <w:p>
      <w:pPr>
        <w:spacing w:line="360" w:lineRule="exact"/>
        <w:rPr>
          <w:rFonts w:ascii="Times New Roman" w:hAnsi="Times New Roman"/>
        </w:rPr>
      </w:pPr>
    </w:p>
    <w:p>
      <w:pPr>
        <w:widowControl/>
        <w:spacing w:line="360" w:lineRule="exact"/>
        <w:jc w:val="left"/>
        <w:rPr>
          <w:rFonts w:ascii="Times New Roman" w:hAnsi="Times New Roman"/>
        </w:rPr>
      </w:pPr>
      <w:r>
        <w:rPr>
          <w:rFonts w:ascii="Times New Roman" w:hAnsi="Times New Roman"/>
        </w:rPr>
        <w:br w:type="page"/>
      </w:r>
    </w:p>
    <w:p>
      <w:pPr>
        <w:pStyle w:val="3"/>
        <w:rPr>
          <w:rFonts w:ascii="Times New Roman" w:hAnsi="Times New Roman"/>
        </w:rPr>
      </w:pPr>
      <w:r>
        <w:rPr>
          <w:rFonts w:hint="eastAsia" w:ascii="Times New Roman" w:hAnsi="Times New Roman"/>
        </w:rPr>
        <w:t>表2-178</w:t>
      </w:r>
    </w:p>
    <w:tbl>
      <w:tblPr>
        <w:tblStyle w:val="12"/>
        <w:tblW w:w="90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pStyle w:val="19"/>
              <w:spacing w:line="360" w:lineRule="exact"/>
              <w:ind w:left="554" w:right="545"/>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序号</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权力事项类型</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权力项目名称</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建设工程竣工验收备案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实施依据</w:t>
            </w:r>
          </w:p>
        </w:tc>
        <w:tc>
          <w:tcPr>
            <w:tcW w:w="7230" w:type="dxa"/>
          </w:tcPr>
          <w:p>
            <w:pPr>
              <w:snapToGrid w:val="0"/>
              <w:spacing w:line="360" w:lineRule="exact"/>
              <w:ind w:firstLine="420" w:firstLineChars="200"/>
              <w:textAlignment w:val="center"/>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w:t>
            </w:r>
            <w:r>
              <w:fldChar w:fldCharType="begin"/>
            </w:r>
            <w:r>
              <w:instrText xml:space="preserve"> HYPERLINK "http://www.sc.gov.cn/10462/zcwjk/zcwjk.shtml?title=%E3%80%8A%E5%BB%BA%E8%AE%BE%E5%B7%A5%E7%A8%8B%E8%B4%A8%E9%87%8F%E7%AE%A1%E7%90%86%E6%9D%A1%E4%BE%8B%E3%80%8B" \t "_blank" </w:instrText>
            </w:r>
            <w:r>
              <w:fldChar w:fldCharType="separate"/>
            </w:r>
            <w:r>
              <w:rPr>
                <w:rFonts w:hint="eastAsia" w:ascii="Times New Roman" w:hAnsi="Times New Roman" w:cs="方正仿宋简体" w:eastAsiaTheme="minorEastAsia"/>
                <w:kern w:val="0"/>
                <w:szCs w:val="21"/>
              </w:rPr>
              <w:t>《建设工程质量管理条例》</w:t>
            </w:r>
            <w:r>
              <w:rPr>
                <w:rFonts w:hint="eastAsia" w:ascii="Times New Roman" w:hAnsi="Times New Roman" w:cs="方正仿宋简体" w:eastAsiaTheme="minorEastAsia"/>
                <w:kern w:val="0"/>
                <w:szCs w:val="21"/>
              </w:rPr>
              <w:fldChar w:fldCharType="end"/>
            </w:r>
            <w:r>
              <w:rPr>
                <w:rFonts w:hint="eastAsia" w:ascii="Times New Roman" w:hAnsi="Times New Roman" w:cs="方正仿宋简体" w:eastAsiaTheme="minorEastAsia"/>
                <w:kern w:val="0"/>
                <w:szCs w:val="21"/>
              </w:rPr>
              <w:t>第四十九条：建设单位应当自建设工程竣工验收合格之日起15日内，将建设工程竣工验收报告和规划、公安消防、环保等部门出具的认可文件或者准许使用文件报建设行政主管部门或者其他有关部门备案。</w:t>
            </w:r>
          </w:p>
          <w:p>
            <w:pPr>
              <w:snapToGrid w:val="0"/>
              <w:spacing w:line="360" w:lineRule="exact"/>
              <w:ind w:firstLine="420" w:firstLineChars="200"/>
              <w:textAlignment w:val="center"/>
              <w:rPr>
                <w:rFonts w:ascii="Times New Roman" w:hAnsi="Times New Roman" w:eastAsiaTheme="minorEastAsia"/>
                <w:kern w:val="0"/>
                <w:szCs w:val="21"/>
              </w:rPr>
            </w:pPr>
            <w:r>
              <w:rPr>
                <w:rFonts w:hint="eastAsia" w:ascii="Times New Roman" w:hAnsi="Times New Roman" w:cs="方正仿宋简体" w:eastAsiaTheme="minorEastAsia"/>
                <w:kern w:val="0"/>
                <w:szCs w:val="21"/>
              </w:rPr>
              <w:t>2.</w:t>
            </w:r>
            <w:r>
              <w:fldChar w:fldCharType="begin"/>
            </w:r>
            <w:r>
              <w:instrText xml:space="preserve"> HYPERLINK "http://www.sc.gov.cn/10462/zcwjk/zcwjk.shtml?title=%E3%80%8A%E6%88%BF%E5%B1%8B%E5%BB%BA%E7%AD%91%E5%92%8C%E5%B8%82%E6%94%BF%E5%9F%BA%E7%A1%80%E8%AE%BE%E6%96%BD%E5%B7%A5%E7%A8%8B%E7%AB%A3%E5%B7%A5%E9%AA%8C%E6%94%B6%E5%A4%87%E6%A1%88%E7%AE%A1%E7%90%86%E5%8A%9E%E6%B3%95%E3%80%8B" \t "_blank" </w:instrText>
            </w:r>
            <w:r>
              <w:fldChar w:fldCharType="separate"/>
            </w:r>
            <w:r>
              <w:rPr>
                <w:rFonts w:hint="eastAsia" w:ascii="Times New Roman" w:hAnsi="Times New Roman" w:cs="方正仿宋简体" w:eastAsiaTheme="minorEastAsia"/>
                <w:kern w:val="0"/>
                <w:szCs w:val="21"/>
              </w:rPr>
              <w:t>《房屋建筑和市政基础设施工程竣工验收备案管理办法》</w:t>
            </w:r>
            <w:r>
              <w:rPr>
                <w:rFonts w:hint="eastAsia" w:ascii="Times New Roman" w:hAnsi="Times New Roman" w:cs="方正仿宋简体" w:eastAsiaTheme="minorEastAsia"/>
                <w:kern w:val="0"/>
                <w:szCs w:val="21"/>
              </w:rPr>
              <w:fldChar w:fldCharType="end"/>
            </w:r>
            <w:r>
              <w:rPr>
                <w:rFonts w:hint="eastAsia" w:ascii="Times New Roman" w:hAnsi="Times New Roman" w:cs="方正仿宋简体" w:eastAsiaTheme="minorEastAsia"/>
                <w:kern w:val="0"/>
                <w:szCs w:val="21"/>
              </w:rPr>
              <w:t>第四条：建设单位应当自工程竣工验收合格之日起15日内，依照本办法规定，向工程所在地的县级以上地方人民政府建设主管部门（以下简称备案机关）备案。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责任主体</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w:t>
            </w:r>
          </w:p>
        </w:tc>
        <w:tc>
          <w:tcPr>
            <w:tcW w:w="7230" w:type="dxa"/>
          </w:tcPr>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1.立项责任：公示应当提交的材料，对书面申请材料进行形式审查，一次性告知补正材料，依法受理或不予受理（不予受理应当告知理由，并告知申请人享有依法申请行政复议或者提起行政诉讼的权力）。</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2.审查责任：对书面申请材料进行审查，并提出意见。</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3.批准责任：在规定时间内作出行政许可或不予行政许可的决定（不予行政许可的应当书面告知理由，并告知申请人享有依法申请行政复议或者提起行政诉讼的权力）。</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4.发布备案责任：完整准确地记录和保存备案信息材料，依法向社会公示。</w:t>
            </w:r>
          </w:p>
          <w:p>
            <w:pPr>
              <w:spacing w:line="360" w:lineRule="exact"/>
              <w:ind w:firstLine="420" w:firstLineChars="200"/>
              <w:textAlignment w:val="center"/>
              <w:rPr>
                <w:rFonts w:ascii="Times New Roman" w:hAnsi="Times New Roman" w:eastAsiaTheme="minorEastAsia"/>
                <w:kern w:val="0"/>
                <w:szCs w:val="21"/>
              </w:rPr>
            </w:pPr>
            <w:r>
              <w:rPr>
                <w:rFonts w:hint="eastAsia" w:ascii="Times New Roman" w:hAnsi="Times New Roman" w:cs="方正仿宋简体" w:eastAsiaTheme="minorEastAsia"/>
                <w:color w:val="000000"/>
                <w:kern w:val="0"/>
                <w:szCs w:val="21"/>
              </w:rPr>
              <w:t>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责任事项依据</w:t>
            </w:r>
          </w:p>
        </w:tc>
        <w:tc>
          <w:tcPr>
            <w:tcW w:w="7230"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w:t>
            </w:r>
            <w:r>
              <w:fldChar w:fldCharType="begin"/>
            </w:r>
            <w:r>
              <w:instrText xml:space="preserve"> HYPERLINK "http://www.sc.gov.cn/10462/zcwjk/zcwjk.shtml?title=%E3%80%8A%E6%88%BF%E5%B1%8B%E5%BB%BA%E7%AD%91%E5%92%8C%E5%B8%82%E6%94%BF%E5%9F%BA%E7%A1%80%E8%AE%BE%E6%96%BD%E5%B7%A5%E7%A8%8B%E7%AB%A3%E5%B7%A5%E9%AA%8C%E6%94%B6%E5%A4%87%E6%A1%88%E7%AE%A1%E7%90%86%E5%8A%9E%E6%B3%95%E3%80%8B" \t "_blank" </w:instrText>
            </w:r>
            <w:r>
              <w:fldChar w:fldCharType="separate"/>
            </w:r>
            <w:r>
              <w:rPr>
                <w:rFonts w:hint="eastAsia" w:ascii="Times New Roman" w:hAnsi="Times New Roman" w:cs="方正仿宋简体" w:eastAsiaTheme="minorEastAsia"/>
                <w:sz w:val="21"/>
                <w:szCs w:val="21"/>
              </w:rPr>
              <w:t>《房屋建筑和市政基础设施工程竣工验收备案管理办法》</w:t>
            </w:r>
            <w:r>
              <w:rPr>
                <w:rFonts w:hint="eastAsia" w:ascii="Times New Roman" w:hAnsi="Times New Roman" w:cs="方正仿宋简体" w:eastAsiaTheme="minorEastAsia"/>
                <w:sz w:val="21"/>
                <w:szCs w:val="21"/>
              </w:rPr>
              <w:fldChar w:fldCharType="end"/>
            </w:r>
            <w:r>
              <w:rPr>
                <w:rFonts w:hint="eastAsia" w:ascii="Times New Roman" w:hAnsi="Times New Roman" w:cs="方正仿宋简体" w:eastAsiaTheme="minorEastAsia"/>
                <w:sz w:val="21"/>
                <w:szCs w:val="21"/>
              </w:rPr>
              <w:t>第六条：备案机关收到建设单位报送的竣工验收备案文件，验证文件齐全后，应当在工程竣工验收备案表上签署文件收讫。工程竣工验收备案表一式两份，一份由建设单位保存，一份留备案机关存档。</w:t>
            </w:r>
            <w:r>
              <w:rPr>
                <w:rFonts w:ascii="Times New Roman" w:hAnsi="Times New Roman" w:cs="方正仿宋简体" w:eastAsiaTheme="minorEastAsia"/>
                <w:sz w:val="21"/>
                <w:szCs w:val="21"/>
              </w:rPr>
              <w:br w:type="textWrapping"/>
            </w:r>
            <w:r>
              <w:rPr>
                <w:rFonts w:hint="eastAsia" w:ascii="Times New Roman" w:hAnsi="Times New Roman" w:cs="方正仿宋简体" w:eastAsiaTheme="minorEastAsia"/>
                <w:sz w:val="21"/>
                <w:szCs w:val="21"/>
              </w:rPr>
              <w:t xml:space="preserve">    2.同上。</w:t>
            </w:r>
            <w:r>
              <w:rPr>
                <w:rFonts w:ascii="Times New Roman" w:hAnsi="Times New Roman" w:cs="方正仿宋简体" w:eastAsiaTheme="minorEastAsia"/>
                <w:sz w:val="21"/>
                <w:szCs w:val="21"/>
              </w:rPr>
              <w:br w:type="textWrapping"/>
            </w:r>
            <w:r>
              <w:rPr>
                <w:rFonts w:hint="eastAsia" w:ascii="Times New Roman" w:hAnsi="Times New Roman" w:cs="方正仿宋简体" w:eastAsiaTheme="minorEastAsia"/>
                <w:sz w:val="21"/>
                <w:szCs w:val="21"/>
              </w:rPr>
              <w:t xml:space="preserve">    3.同上。</w:t>
            </w:r>
            <w:r>
              <w:rPr>
                <w:rFonts w:ascii="Times New Roman" w:hAnsi="Times New Roman" w:cs="方正仿宋简体" w:eastAsiaTheme="minorEastAsia"/>
                <w:sz w:val="21"/>
                <w:szCs w:val="21"/>
              </w:rPr>
              <w:br w:type="textWrapping"/>
            </w:r>
            <w:r>
              <w:rPr>
                <w:rFonts w:hint="eastAsia" w:ascii="Times New Roman" w:hAnsi="Times New Roman" w:cs="方正仿宋简体" w:eastAsiaTheme="minorEastAsia"/>
                <w:sz w:val="21"/>
                <w:szCs w:val="21"/>
              </w:rPr>
              <w:t xml:space="preserve">    4.同上。</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p>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追责情形</w:t>
            </w:r>
          </w:p>
        </w:tc>
        <w:tc>
          <w:tcPr>
            <w:tcW w:w="7230" w:type="dxa"/>
          </w:tcPr>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3"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监督电话</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jc w:val="left"/>
        <w:rPr>
          <w:rFonts w:ascii="Times New Roman" w:hAnsi="Times New Roman" w:eastAsiaTheme="minorEastAsia"/>
          <w:szCs w:val="21"/>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rPr>
      </w:pPr>
      <w:r>
        <w:rPr>
          <w:rFonts w:hint="eastAsia" w:ascii="Times New Roman" w:hAnsi="Times New Roman"/>
        </w:rPr>
        <w:t>表2-179</w:t>
      </w:r>
    </w:p>
    <w:tbl>
      <w:tblPr>
        <w:tblStyle w:val="12"/>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pStyle w:val="19"/>
              <w:spacing w:line="360" w:lineRule="exact"/>
              <w:ind w:left="554" w:right="545"/>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序号</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权力事项类型</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权力项目名称</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外省籍车辆驻川经营备案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实施依据</w:t>
            </w:r>
          </w:p>
        </w:tc>
        <w:tc>
          <w:tcPr>
            <w:tcW w:w="7230" w:type="dxa"/>
          </w:tcPr>
          <w:p>
            <w:pPr>
              <w:pStyle w:val="10"/>
              <w:shd w:val="clear" w:color="auto" w:fill="FFFFFF"/>
              <w:spacing w:before="0" w:beforeAutospacing="0" w:after="0" w:afterAutospacing="0" w:line="360" w:lineRule="exact"/>
              <w:ind w:firstLine="420" w:firstLineChars="200"/>
              <w:jc w:val="both"/>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color w:val="000000"/>
                <w:sz w:val="21"/>
                <w:szCs w:val="21"/>
              </w:rPr>
              <w:t>1.《道路货物运输及场站管理规定》第二十条：</w:t>
            </w:r>
            <w:r>
              <w:rPr>
                <w:rFonts w:ascii="Times New Roman" w:hAnsi="Times New Roman" w:cs="方正仿宋简体" w:eastAsiaTheme="minorEastAsia"/>
                <w:color w:val="000000"/>
                <w:sz w:val="21"/>
                <w:szCs w:val="21"/>
              </w:rPr>
              <w:t>道路货物运输经营者应当定期进行货运车辆检测,车辆检测结合车辆定期审验的频率一并进行。道路货物运输经营者在规定时间内,到符合国家相关标准的机动车综合性能检测机构进行检测。机动车综合性能检测机构按照国家标准《营运车辆综合性能要求和检验方法》(GB18565)和《道路车辆外廓尺寸、轴荷及质量限值》(GB1589)的规定进行检测,出具全国统一式样的检测报告。并依据检测结果,对照行业标准《营运车辆技术等级划分和评定要(JT/T198)评定车辆技术等级。货运车辆技术等级分为一级、二级和三级。车籍所在地县级以上道路运输管理机构应当将车辆技术等级在《道路运输证》上标明。</w:t>
            </w:r>
          </w:p>
          <w:p>
            <w:pPr>
              <w:pStyle w:val="10"/>
              <w:shd w:val="clear" w:color="auto" w:fill="FFFFFF"/>
              <w:spacing w:before="0" w:beforeAutospacing="0" w:after="225" w:afterAutospacing="0" w:line="360" w:lineRule="exact"/>
              <w:ind w:firstLine="420" w:firstLineChars="200"/>
              <w:jc w:val="both"/>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color w:val="000000"/>
                <w:sz w:val="21"/>
                <w:szCs w:val="21"/>
              </w:rPr>
              <w:t>2.《四川省道路货物运输管理办法》第二十条货运经营者使用在外</w:t>
            </w:r>
            <w:r>
              <w:rPr>
                <w:rFonts w:hint="eastAsia" w:ascii="Times New Roman" w:hAnsi="Times New Roman" w:cs="方正仿宋简体" w:eastAsiaTheme="minorEastAsia"/>
                <w:color w:val="000000"/>
                <w:sz w:val="21"/>
                <w:szCs w:val="21"/>
                <w:lang w:eastAsia="zh-CN"/>
              </w:rPr>
              <w:t>省（自治区、直辖市）</w:t>
            </w:r>
            <w:r>
              <w:rPr>
                <w:rFonts w:hint="eastAsia" w:ascii="Times New Roman" w:hAnsi="Times New Roman" w:cs="方正仿宋简体" w:eastAsiaTheme="minorEastAsia"/>
                <w:color w:val="000000"/>
                <w:sz w:val="21"/>
                <w:szCs w:val="21"/>
              </w:rPr>
              <w:t>注册的车辆，在我省境内从事货运经营活动1个月以上的，应当持该车的道路运输证向驻在地县级道路运输管理机构申请办理备案手续，领取《外省籍车辆驻川经营备案卡》，按我省的规定缴纳规费，进行管理。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责任主体</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w:t>
            </w:r>
          </w:p>
        </w:tc>
        <w:tc>
          <w:tcPr>
            <w:tcW w:w="7230" w:type="dxa"/>
          </w:tcPr>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1.立项责任：公示应当提交的材料，对书面申请材料进行形式审查，一次性告知补正材料，依法受理或不予受理（不予受理应当告知理由，并告知申请人享有依法申请行政复议或者提起行政诉讼的权力）。</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2.审查责任：对书面申请材料进行审查，并提出意见。</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3.批准责任：在规定时间内作出行政许可或不予行政许可的决定（不予行政许可的应当书面告知理由，并告知申请人享有依法申请行政复议或者提起行政诉讼的权力）。</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4.发布备案责任：完整准确地记录和保存备案信息材料，依法向社会公示。</w:t>
            </w:r>
          </w:p>
          <w:p>
            <w:pPr>
              <w:spacing w:line="360" w:lineRule="exact"/>
              <w:ind w:firstLine="420" w:firstLineChars="200"/>
              <w:textAlignment w:val="center"/>
              <w:rPr>
                <w:rFonts w:ascii="Times New Roman" w:hAnsi="Times New Roman" w:eastAsiaTheme="minorEastAsia"/>
                <w:kern w:val="0"/>
                <w:szCs w:val="21"/>
              </w:rPr>
            </w:pPr>
            <w:r>
              <w:rPr>
                <w:rFonts w:hint="eastAsia" w:ascii="Times New Roman" w:hAnsi="Times New Roman" w:cs="方正仿宋简体" w:eastAsiaTheme="minorEastAsia"/>
                <w:color w:val="000000"/>
                <w:kern w:val="0"/>
                <w:szCs w:val="21"/>
              </w:rPr>
              <w:t>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责任事项依据</w:t>
            </w:r>
          </w:p>
        </w:tc>
        <w:tc>
          <w:tcPr>
            <w:tcW w:w="7230"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color w:val="000000"/>
                <w:sz w:val="21"/>
                <w:szCs w:val="21"/>
              </w:rPr>
              <w:t>1.《四川省道路货物运输管理办法》第二十条货运经营者使用在外</w:t>
            </w:r>
            <w:r>
              <w:rPr>
                <w:rFonts w:hint="eastAsia" w:ascii="Times New Roman" w:hAnsi="Times New Roman" w:cs="方正仿宋简体" w:eastAsiaTheme="minorEastAsia"/>
                <w:color w:val="000000"/>
                <w:sz w:val="21"/>
                <w:szCs w:val="21"/>
                <w:lang w:eastAsia="zh-CN"/>
              </w:rPr>
              <w:t>省（自治区、直辖市）</w:t>
            </w:r>
            <w:r>
              <w:rPr>
                <w:rFonts w:hint="eastAsia" w:ascii="Times New Roman" w:hAnsi="Times New Roman" w:cs="方正仿宋简体" w:eastAsiaTheme="minorEastAsia"/>
                <w:color w:val="000000"/>
                <w:sz w:val="21"/>
                <w:szCs w:val="21"/>
              </w:rPr>
              <w:t>注册的车辆，在我省境内从事货运经营活动1个月以上的，应当持该车的道路运输证向驻在地县级道路运输管理机构申请办理备案手续，领取《外省籍车辆驻川经营备案卡》，按我省的规定缴纳规费，进行管理。</w:t>
            </w:r>
            <w:r>
              <w:rPr>
                <w:rFonts w:ascii="Times New Roman" w:hAnsi="Times New Roman" w:cs="方正仿宋简体" w:eastAsiaTheme="minorEastAsia"/>
                <w:color w:val="000000"/>
                <w:sz w:val="21"/>
                <w:szCs w:val="21"/>
              </w:rPr>
              <w:br w:type="textWrapping"/>
            </w:r>
            <w:r>
              <w:rPr>
                <w:rFonts w:hint="eastAsia" w:ascii="Times New Roman" w:hAnsi="Times New Roman" w:cs="方正仿宋简体" w:eastAsiaTheme="minorEastAsia"/>
                <w:sz w:val="21"/>
                <w:szCs w:val="21"/>
              </w:rPr>
              <w:t xml:space="preserve">    2.同上。</w:t>
            </w:r>
            <w:r>
              <w:rPr>
                <w:rFonts w:ascii="Times New Roman" w:hAnsi="Times New Roman" w:cs="方正仿宋简体" w:eastAsiaTheme="minorEastAsia"/>
                <w:sz w:val="21"/>
                <w:szCs w:val="21"/>
              </w:rPr>
              <w:br w:type="textWrapping"/>
            </w:r>
            <w:r>
              <w:rPr>
                <w:rFonts w:hint="eastAsia" w:ascii="Times New Roman" w:hAnsi="Times New Roman" w:cs="方正仿宋简体" w:eastAsiaTheme="minorEastAsia"/>
                <w:sz w:val="21"/>
                <w:szCs w:val="21"/>
              </w:rPr>
              <w:t xml:space="preserve">    3.同上。</w:t>
            </w:r>
            <w:r>
              <w:rPr>
                <w:rFonts w:ascii="Times New Roman" w:hAnsi="Times New Roman" w:cs="方正仿宋简体" w:eastAsiaTheme="minorEastAsia"/>
                <w:sz w:val="21"/>
                <w:szCs w:val="21"/>
              </w:rPr>
              <w:br w:type="textWrapping"/>
            </w:r>
            <w:r>
              <w:rPr>
                <w:rFonts w:hint="eastAsia" w:ascii="Times New Roman" w:hAnsi="Times New Roman" w:cs="方正仿宋简体" w:eastAsiaTheme="minorEastAsia"/>
                <w:sz w:val="21"/>
                <w:szCs w:val="21"/>
              </w:rPr>
              <w:t xml:space="preserve">    4.同上。</w:t>
            </w:r>
          </w:p>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p>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追责情形</w:t>
            </w:r>
          </w:p>
        </w:tc>
        <w:tc>
          <w:tcPr>
            <w:tcW w:w="7230" w:type="dxa"/>
          </w:tcPr>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监督电话</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spacing w:before="8" w:line="360" w:lineRule="exact"/>
        <w:ind w:left="509"/>
        <w:rPr>
          <w:rFonts w:ascii="Times New Roman" w:hAnsi="Times New Roman" w:eastAsiaTheme="minorEastAsia"/>
          <w:szCs w:val="21"/>
        </w:rPr>
      </w:pPr>
    </w:p>
    <w:p>
      <w:pPr>
        <w:spacing w:before="8"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rPr>
      </w:pPr>
      <w:r>
        <w:rPr>
          <w:rFonts w:hint="eastAsia" w:ascii="Times New Roman" w:hAnsi="Times New Roman"/>
        </w:rPr>
        <w:t>表2-180</w:t>
      </w:r>
    </w:p>
    <w:tbl>
      <w:tblPr>
        <w:tblStyle w:val="12"/>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pStyle w:val="19"/>
              <w:spacing w:line="360" w:lineRule="exact"/>
              <w:ind w:left="554" w:right="545"/>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序号</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权力事项类型</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权力项目名称</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客运机动车租赁经营备案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实施依据</w:t>
            </w:r>
          </w:p>
        </w:tc>
        <w:tc>
          <w:tcPr>
            <w:tcW w:w="7230" w:type="dxa"/>
          </w:tcPr>
          <w:p>
            <w:pPr>
              <w:snapToGrid w:val="0"/>
              <w:spacing w:line="360" w:lineRule="exact"/>
              <w:ind w:firstLine="420" w:firstLineChars="200"/>
              <w:textAlignment w:val="center"/>
              <w:rPr>
                <w:rFonts w:ascii="Times New Roman" w:hAnsi="Times New Roman" w:cs="方正仿宋简体" w:eastAsiaTheme="minorEastAsia"/>
                <w:kern w:val="0"/>
                <w:szCs w:val="21"/>
              </w:rPr>
            </w:pPr>
            <w:r>
              <w:rPr>
                <w:rFonts w:hint="eastAsia" w:ascii="Times New Roman" w:hAnsi="Times New Roman" w:cs="方正仿宋简体" w:eastAsiaTheme="minorEastAsia"/>
                <w:kern w:val="0"/>
                <w:szCs w:val="21"/>
              </w:rPr>
              <w:t>1.《四川省道路旅客运输管理办法》</w:t>
            </w:r>
            <w:r>
              <w:rPr>
                <w:rFonts w:ascii="Times New Roman" w:hAnsi="Times New Roman" w:cs="方正仿宋简体" w:eastAsiaTheme="minorEastAsia"/>
                <w:kern w:val="0"/>
                <w:szCs w:val="21"/>
              </w:rPr>
              <w:t>第二十六条</w:t>
            </w:r>
            <w:r>
              <w:rPr>
                <w:rFonts w:hint="eastAsia" w:ascii="Times New Roman" w:hAnsi="Times New Roman" w:cs="方正仿宋简体" w:eastAsiaTheme="minorEastAsia"/>
                <w:kern w:val="0"/>
                <w:szCs w:val="21"/>
              </w:rPr>
              <w:t>：</w:t>
            </w:r>
            <w:r>
              <w:rPr>
                <w:rFonts w:ascii="Times New Roman" w:hAnsi="Times New Roman" w:cs="方正仿宋简体" w:eastAsiaTheme="minorEastAsia"/>
                <w:kern w:val="0"/>
                <w:szCs w:val="21"/>
              </w:rPr>
              <w:t>申请从事客车租赁经营的，应当具备下列条件并依法办理工商营业执照后方可经营:(一) 客运机动车不少于20辆，车辆技术等级达到三级以上;(二) 客运机动车辆座位数不得超过12座;(三) 有健全的业务操作规程、安全管理制度和应急预案。第二十七条 从事客车租赁经营的，应当自开业之日起15日内向所在地县级道路运输管理机构备案，并提交以下备案材料:(一)客车租赁经营备案申请表;(二)组织机构代码证、工商营业执照、税务登记证原件及复印件;(三)车辆的登记证书及行驶证复印件、车辆技术等级合格证明;(四)法定代表人身份证复印件，经办人身份证原件及复印件和委托书;(五)房屋产权证明或者租赁协议;(六)业务操作规程、安全管理制度和应急预案文本。道路运输管理机构应当自备案之日起15日内，向符合条件的车辆核发道路运输证，其经营范围注明"客运机动车租赁"</w:t>
            </w:r>
            <w:r>
              <w:rPr>
                <w:rFonts w:hint="eastAsia" w:ascii="Times New Roman" w:hAnsi="Times New Roman" w:cs="方正仿宋简体" w:eastAsiaTheme="minorEastAsia"/>
                <w:kern w:val="0"/>
                <w:szCs w:val="21"/>
              </w:rPr>
              <w:t>。</w:t>
            </w:r>
          </w:p>
          <w:p>
            <w:pPr>
              <w:pStyle w:val="10"/>
              <w:shd w:val="clear" w:color="auto" w:fill="FFFFFF"/>
              <w:spacing w:before="0" w:beforeAutospacing="0" w:after="225" w:afterAutospacing="0"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2.《四川省道路运输条例》</w:t>
            </w:r>
            <w:r>
              <w:rPr>
                <w:rFonts w:ascii="Times New Roman" w:hAnsi="Times New Roman" w:cs="方正仿宋简体" w:eastAsiaTheme="minorEastAsia"/>
                <w:sz w:val="21"/>
                <w:szCs w:val="21"/>
              </w:rPr>
              <w:t>第二十七条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客货运输经营者应当使用符合国家规定标准的车辆，按规定定期对车辆进行维护和检测，建立维护、修理制度和</w:t>
            </w:r>
            <w:r>
              <w:fldChar w:fldCharType="begin"/>
            </w:r>
            <w:r>
              <w:instrText xml:space="preserve"> HYPERLINK "https://baike.so.com/doc/999159-1056263.html" \t "_blank" </w:instrText>
            </w:r>
            <w:r>
              <w:fldChar w:fldCharType="separate"/>
            </w:r>
            <w:r>
              <w:rPr>
                <w:rFonts w:ascii="Times New Roman" w:hAnsi="Times New Roman" w:cs="方正仿宋简体" w:eastAsiaTheme="minorEastAsia"/>
                <w:sz w:val="21"/>
                <w:szCs w:val="21"/>
              </w:rPr>
              <w:t>车辆技术档案</w:t>
            </w:r>
            <w:r>
              <w:rPr>
                <w:rFonts w:ascii="Times New Roman" w:hAnsi="Times New Roman" w:cs="方正仿宋简体" w:eastAsiaTheme="minorEastAsia"/>
                <w:sz w:val="21"/>
                <w:szCs w:val="21"/>
              </w:rPr>
              <w:fldChar w:fldCharType="end"/>
            </w:r>
            <w:r>
              <w:rPr>
                <w:rFonts w:ascii="Times New Roman" w:hAnsi="Times New Roman" w:cs="方正仿宋简体" w:eastAsiaTheme="minorEastAsia"/>
                <w:sz w:val="21"/>
                <w:szCs w:val="21"/>
              </w:rPr>
              <w:t>，保持车辆技术状况良好</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不得使用未按规定进行维护或者检测、经检测不合格、擅自改装、拼装或者报废的车辆从事客货运输经营。班车客运、包车客运、货运经营者应当结合技术等级评定，对车辆每年进行一次综合性能检测。从事八百公里以上的班车客运车辆或者使用年限超过五年的班车、包车客运车辆每半年检测、评定一次。第二十八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营运车辆综合性能检测机构应当按照国家和行业标准以及相关规定进行客货运输车辆综合性能检测，并对检测结果承担法律责任。质量技术监督部门负责汽车综合性能检测机构的实验室资质认定，对综合性能检测设备进行计量检定或者校准。符合相关标准要求的营运车辆综合性能检测机构，由省道路运输管理机构向社会公告。第二十九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客货运输车辆的技术等级和客运车辆的类型等级应当符合国家有关规定并定期核验。第三十条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实行班车和包车客运车辆营运使用年限制，具体类型等级要求和营运使用年限由省人民政府交通运输行政主管部门按照国家有关规定制定</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第三十一条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客货运输车辆应当按照规定安装和使用符合国家标准的具有行驶记录功能的卫星定位装置，任何单位和个人不得指定卫星定位装置的品牌及安装等事项。客货运输经营者应当建立</w:t>
            </w:r>
            <w:r>
              <w:fldChar w:fldCharType="begin"/>
            </w:r>
            <w:r>
              <w:instrText xml:space="preserve"> HYPERLINK "https://baike.so.com/doc/5390114-5626737.html" \t "_blank" </w:instrText>
            </w:r>
            <w:r>
              <w:fldChar w:fldCharType="separate"/>
            </w:r>
            <w:r>
              <w:rPr>
                <w:rFonts w:ascii="Times New Roman" w:hAnsi="Times New Roman" w:cs="方正仿宋简体" w:eastAsiaTheme="minorEastAsia"/>
                <w:sz w:val="21"/>
                <w:szCs w:val="21"/>
              </w:rPr>
              <w:t>卫星定位系统</w:t>
            </w:r>
            <w:r>
              <w:rPr>
                <w:rFonts w:ascii="Times New Roman" w:hAnsi="Times New Roman" w:cs="方正仿宋简体" w:eastAsiaTheme="minorEastAsia"/>
                <w:sz w:val="21"/>
                <w:szCs w:val="21"/>
              </w:rPr>
              <w:fldChar w:fldCharType="end"/>
            </w:r>
            <w:r>
              <w:rPr>
                <w:rFonts w:ascii="Times New Roman" w:hAnsi="Times New Roman" w:cs="方正仿宋简体" w:eastAsiaTheme="minorEastAsia"/>
                <w:sz w:val="21"/>
                <w:szCs w:val="21"/>
              </w:rPr>
              <w:t>使用和管理制度，保障其正常运行，对车辆和驾驶员进行实时监管。客货运输车辆的驾驶员应当按规定使用卫星定位系统，保障其正常运行。第三十二条</w:t>
            </w:r>
            <w:r>
              <w:rPr>
                <w:rFonts w:hint="eastAsia" w:ascii="Times New Roman" w:hAnsi="Times New Roman" w:cs="方正仿宋简体" w:eastAsiaTheme="minorEastAsia"/>
                <w:sz w:val="21"/>
                <w:szCs w:val="21"/>
              </w:rPr>
              <w:t>:</w:t>
            </w:r>
            <w:r>
              <w:fldChar w:fldCharType="begin"/>
            </w:r>
            <w:r>
              <w:instrText xml:space="preserve"> HYPERLINK "https://baike.so.com/doc/5738900-5951650.html" \t "_blank" </w:instrText>
            </w:r>
            <w:r>
              <w:fldChar w:fldCharType="separate"/>
            </w:r>
            <w:r>
              <w:rPr>
                <w:rFonts w:ascii="Times New Roman" w:hAnsi="Times New Roman" w:cs="方正仿宋简体" w:eastAsiaTheme="minorEastAsia"/>
                <w:sz w:val="21"/>
                <w:szCs w:val="21"/>
              </w:rPr>
              <w:t>道路运输</w:t>
            </w:r>
            <w:r>
              <w:rPr>
                <w:rFonts w:ascii="Times New Roman" w:hAnsi="Times New Roman" w:cs="方正仿宋简体" w:eastAsiaTheme="minorEastAsia"/>
                <w:sz w:val="21"/>
                <w:szCs w:val="21"/>
              </w:rPr>
              <w:fldChar w:fldCharType="end"/>
            </w:r>
            <w:r>
              <w:rPr>
                <w:rFonts w:ascii="Times New Roman" w:hAnsi="Times New Roman" w:cs="方正仿宋简体" w:eastAsiaTheme="minorEastAsia"/>
                <w:sz w:val="21"/>
                <w:szCs w:val="21"/>
              </w:rPr>
              <w:t>经营者应当完成县级以上地方人民政府及其交通运输行政主管部门下达的</w:t>
            </w:r>
            <w:r>
              <w:fldChar w:fldCharType="begin"/>
            </w:r>
            <w:r>
              <w:instrText xml:space="preserve"> HYPERLINK "https://baike.so.com/doc/4859183-5076627.html" \t "_blank" </w:instrText>
            </w:r>
            <w:r>
              <w:fldChar w:fldCharType="separate"/>
            </w:r>
            <w:r>
              <w:rPr>
                <w:rFonts w:ascii="Times New Roman" w:hAnsi="Times New Roman" w:cs="方正仿宋简体" w:eastAsiaTheme="minorEastAsia"/>
                <w:sz w:val="21"/>
                <w:szCs w:val="21"/>
              </w:rPr>
              <w:t>交通战备</w:t>
            </w:r>
            <w:r>
              <w:rPr>
                <w:rFonts w:ascii="Times New Roman" w:hAnsi="Times New Roman" w:cs="方正仿宋简体" w:eastAsiaTheme="minorEastAsia"/>
                <w:sz w:val="21"/>
                <w:szCs w:val="21"/>
              </w:rPr>
              <w:fldChar w:fldCharType="end"/>
            </w:r>
            <w:r>
              <w:rPr>
                <w:rFonts w:ascii="Times New Roman" w:hAnsi="Times New Roman" w:cs="方正仿宋简体" w:eastAsiaTheme="minorEastAsia"/>
                <w:sz w:val="21"/>
                <w:szCs w:val="21"/>
              </w:rPr>
              <w:t>、突发事件应急运输任务。对承担应急运输任务的道路运输经营者，县级以上地方人民政府应当根据当时、当地市场运价予以合理补偿。在发生突发事件情况下，为满足公众基本出行或者运送紧急物资需要，客货运输经营者在具备道路基本通行条件和相应安全保障措施，经道路运输管理机构批准，可以开展应急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责任主体</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w:t>
            </w:r>
          </w:p>
        </w:tc>
        <w:tc>
          <w:tcPr>
            <w:tcW w:w="7230" w:type="dxa"/>
          </w:tcPr>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1.立项责任：公示应当提交的材料，对书面申请材料进行形式审查，一次性告知补正材料，依法受理或不予受理（不予受理应当告知理由，并告知申请人享有依法申请行政复议或者提起行政诉讼的权力）。</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2.审查责任：对书面申请材料进行审查，并提出意见。</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3.批准责任：在规定时间内作出行政许可或不予行政许可的决定（不予行政许可的应当书面告知理由，并告知申请人享有依法申请行政复议或者提起行政诉讼的权力）。</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4.发布备案责任：完整准确地记录和保存备案信息材料，依法向社会公示。</w:t>
            </w:r>
          </w:p>
          <w:p>
            <w:pPr>
              <w:spacing w:line="360" w:lineRule="exact"/>
              <w:ind w:firstLine="420" w:firstLineChars="200"/>
              <w:textAlignment w:val="center"/>
              <w:rPr>
                <w:rFonts w:ascii="Times New Roman" w:hAnsi="Times New Roman" w:eastAsiaTheme="minorEastAsia"/>
                <w:kern w:val="0"/>
                <w:szCs w:val="21"/>
              </w:rPr>
            </w:pPr>
            <w:r>
              <w:rPr>
                <w:rFonts w:hint="eastAsia" w:ascii="Times New Roman" w:hAnsi="Times New Roman" w:cs="方正仿宋简体" w:eastAsiaTheme="minorEastAsia"/>
                <w:color w:val="000000"/>
                <w:kern w:val="0"/>
                <w:szCs w:val="21"/>
              </w:rPr>
              <w:t>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9"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责任事项依据</w:t>
            </w:r>
          </w:p>
        </w:tc>
        <w:tc>
          <w:tcPr>
            <w:tcW w:w="7230" w:type="dxa"/>
          </w:tcPr>
          <w:p>
            <w:pPr>
              <w:pStyle w:val="19"/>
              <w:spacing w:line="360" w:lineRule="exact"/>
              <w:ind w:firstLine="420" w:firstLineChars="200"/>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1.《四川省道路旅客运输管理办法》</w:t>
            </w:r>
            <w:r>
              <w:rPr>
                <w:rFonts w:ascii="Times New Roman" w:hAnsi="Times New Roman" w:cs="方正仿宋简体" w:eastAsiaTheme="minorEastAsia"/>
                <w:sz w:val="21"/>
                <w:szCs w:val="21"/>
              </w:rPr>
              <w:t>第二十七条</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t>从事客车租赁经营的，应当自开业之日起15日内向所在地县级道路运输管理机构备案，并提交以下备案材料:(一)客车租赁经营备案申请表;(二)组织机构代码证、工商营业执照、税务登记证原件及复印件;(三)车辆的登记证书及行驶证复印件、车辆技术等级合格证明;(四)法定代表人身份证复印件，经办人身份证原件及复印件和委托书;(五)房屋产权证明或者租赁协议;(六)业务操作规程、安全管理制度和应急预案文本。道路运输管理机构应当自备案之日起15日内，向符合条件的车辆核发道路运输证，其经营范围注明"客运机动车租赁"</w:t>
            </w:r>
            <w:r>
              <w:rPr>
                <w:rFonts w:hint="eastAsia" w:ascii="Times New Roman" w:hAnsi="Times New Roman" w:cs="方正仿宋简体" w:eastAsiaTheme="minorEastAsia"/>
                <w:sz w:val="21"/>
                <w:szCs w:val="21"/>
              </w:rPr>
              <w:t>。</w:t>
            </w:r>
            <w:r>
              <w:rPr>
                <w:rFonts w:ascii="Times New Roman" w:hAnsi="Times New Roman" w:cs="方正仿宋简体" w:eastAsiaTheme="minorEastAsia"/>
                <w:sz w:val="21"/>
                <w:szCs w:val="21"/>
              </w:rPr>
              <w:br w:type="textWrapping"/>
            </w:r>
            <w:r>
              <w:rPr>
                <w:rFonts w:hint="eastAsia" w:ascii="Times New Roman" w:hAnsi="Times New Roman" w:cs="方正仿宋简体" w:eastAsiaTheme="minorEastAsia"/>
                <w:sz w:val="21"/>
                <w:szCs w:val="21"/>
              </w:rPr>
              <w:t xml:space="preserve">    2.同上。</w:t>
            </w:r>
            <w:r>
              <w:rPr>
                <w:rFonts w:ascii="Times New Roman" w:hAnsi="Times New Roman" w:cs="方正仿宋简体" w:eastAsiaTheme="minorEastAsia"/>
                <w:sz w:val="21"/>
                <w:szCs w:val="21"/>
              </w:rPr>
              <w:br w:type="textWrapping"/>
            </w:r>
            <w:r>
              <w:rPr>
                <w:rFonts w:hint="eastAsia" w:ascii="Times New Roman" w:hAnsi="Times New Roman" w:cs="方正仿宋简体" w:eastAsiaTheme="minorEastAsia"/>
                <w:sz w:val="21"/>
                <w:szCs w:val="21"/>
              </w:rPr>
              <w:t xml:space="preserve">    3.同上。</w:t>
            </w:r>
            <w:r>
              <w:rPr>
                <w:rFonts w:ascii="Times New Roman" w:hAnsi="Times New Roman" w:cs="方正仿宋简体" w:eastAsiaTheme="minorEastAsia"/>
                <w:sz w:val="21"/>
                <w:szCs w:val="21"/>
              </w:rPr>
              <w:br w:type="textWrapping"/>
            </w:r>
            <w:r>
              <w:rPr>
                <w:rFonts w:hint="eastAsia" w:ascii="Times New Roman" w:hAnsi="Times New Roman" w:cs="方正仿宋简体" w:eastAsiaTheme="minorEastAsia"/>
                <w:sz w:val="21"/>
                <w:szCs w:val="21"/>
              </w:rPr>
              <w:t xml:space="preserve">    4.同上。</w:t>
            </w:r>
          </w:p>
          <w:p>
            <w:pPr>
              <w:pStyle w:val="19"/>
              <w:spacing w:line="360" w:lineRule="exact"/>
              <w:ind w:firstLine="420" w:firstLineChars="200"/>
              <w:jc w:val="both"/>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5.同上。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p>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追责情形</w:t>
            </w:r>
          </w:p>
        </w:tc>
        <w:tc>
          <w:tcPr>
            <w:tcW w:w="7230" w:type="dxa"/>
          </w:tcPr>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监督电话</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jc w:val="left"/>
        <w:rPr>
          <w:rFonts w:ascii="Times New Roman" w:hAnsi="Times New Roman" w:eastAsia="方正黑体简体"/>
          <w:sz w:val="32"/>
          <w:szCs w:val="32"/>
        </w:rPr>
      </w:pPr>
    </w:p>
    <w:p>
      <w:pPr>
        <w:rPr>
          <w:rFonts w:ascii="Times New Roman" w:hAnsi="Times New Roman"/>
        </w:rPr>
      </w:pPr>
      <w:r>
        <w:rPr>
          <w:rFonts w:ascii="Times New Roman" w:hAnsi="Times New Roman"/>
        </w:rPr>
        <w:br w:type="page"/>
      </w:r>
    </w:p>
    <w:p>
      <w:pPr>
        <w:pStyle w:val="3"/>
        <w:spacing w:line="360" w:lineRule="exact"/>
        <w:rPr>
          <w:rFonts w:ascii="Times New Roman" w:hAnsi="Times New Roman"/>
          <w:szCs w:val="21"/>
        </w:rPr>
      </w:pPr>
      <w:r>
        <w:rPr>
          <w:rFonts w:hint="eastAsia" w:ascii="Times New Roman" w:hAnsi="Times New Roman"/>
        </w:rPr>
        <w:t>表2-181</w:t>
      </w:r>
    </w:p>
    <w:tbl>
      <w:tblPr>
        <w:tblStyle w:val="12"/>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09" w:type="dxa"/>
            <w:vAlign w:val="center"/>
          </w:tcPr>
          <w:p>
            <w:pPr>
              <w:pStyle w:val="19"/>
              <w:spacing w:line="360" w:lineRule="exact"/>
              <w:ind w:left="554" w:right="545"/>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序号</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eastAsiaTheme="minorEastAsia"/>
                <w:sz w:val="21"/>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权力事项类型</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权力项目名称</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color w:val="000000"/>
                <w:sz w:val="21"/>
                <w:szCs w:val="21"/>
              </w:rPr>
              <w:t>经营性停车场备案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实施依据</w:t>
            </w:r>
          </w:p>
        </w:tc>
        <w:tc>
          <w:tcPr>
            <w:tcW w:w="7230" w:type="dxa"/>
          </w:tcPr>
          <w:p>
            <w:pPr>
              <w:pStyle w:val="10"/>
              <w:shd w:val="clear" w:color="auto" w:fill="FFFFFF"/>
              <w:spacing w:before="0" w:beforeAutospacing="0" w:after="0" w:afterAutospacing="0" w:line="360" w:lineRule="exact"/>
              <w:ind w:firstLine="420" w:firstLineChars="200"/>
              <w:jc w:val="both"/>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color w:val="000000"/>
                <w:sz w:val="21"/>
                <w:szCs w:val="21"/>
              </w:rPr>
              <w:t>1.《成都市机动车停车场管理办法》</w:t>
            </w:r>
            <w:r>
              <w:rPr>
                <w:rFonts w:ascii="Times New Roman" w:hAnsi="Times New Roman" w:cs="方正仿宋简体" w:eastAsiaTheme="minorEastAsia"/>
                <w:color w:val="000000"/>
                <w:sz w:val="21"/>
                <w:szCs w:val="21"/>
              </w:rPr>
              <w:t>第十二条(登记备案)</w:t>
            </w:r>
            <w:r>
              <w:rPr>
                <w:rFonts w:hint="eastAsia" w:ascii="Times New Roman" w:hAnsi="Times New Roman" w:cs="方正仿宋简体" w:eastAsiaTheme="minorEastAsia"/>
                <w:color w:val="000000"/>
                <w:sz w:val="21"/>
                <w:szCs w:val="21"/>
              </w:rPr>
              <w:t>：</w:t>
            </w:r>
            <w:r>
              <w:rPr>
                <w:rFonts w:ascii="Times New Roman" w:hAnsi="Times New Roman" w:cs="方正仿宋简体" w:eastAsiaTheme="minorEastAsia"/>
                <w:color w:val="000000"/>
                <w:sz w:val="21"/>
                <w:szCs w:val="21"/>
              </w:rPr>
              <w:t>经验收合格或因故歇业的公共停车场，应向所在地县级交通行政管理部门办理备案手续。</w:t>
            </w:r>
          </w:p>
          <w:p>
            <w:pPr>
              <w:pStyle w:val="10"/>
              <w:shd w:val="clear" w:color="auto" w:fill="FFFFFF"/>
              <w:spacing w:before="0" w:beforeAutospacing="0" w:after="225" w:afterAutospacing="0" w:line="360" w:lineRule="exact"/>
              <w:ind w:firstLine="420" w:firstLineChars="200"/>
              <w:jc w:val="both"/>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color w:val="000000"/>
                <w:sz w:val="21"/>
                <w:szCs w:val="21"/>
              </w:rPr>
              <w:t>2.《成都市机动车停车场管理办法实施意见》第七项：公共停车场管理实行备案制，公共停车场应当在投入使用前向所在地县级交通行政管理部门申办登记备案。场地及设施符合要求，申办备案资料齐全，且符合不影响交通和市政公用设施正常使用基本设置原则的公共停车场均可在交通行政管理部门备案。交通行政管理部门对申请备案的公共停车场，应当进行实地勘验，对符合要求的发给备案证书、备案通知书及附表。申办者持备案通知书及附表到物价、地税部门办理有关登记手续。（一）停车场备案需提供的资料1、非临时公共停车场登记备案应提供以下资料：（1）停车场开办书；（2）合法的场地使用权证明（土地使用权证明文件或产权证明文件）（3）总平面图及规划红线图复印件；（4）停车泊位布置图和场地的街道位置示意图。停车泊位布置图应清楚标明车位停放、交通走向，通道、停车位的尺寸，停车场名称及车位总数，对于部分车位产权属私人，部分车位对外经营的停车场，必须在实地和图纸上明确私人产权车位的数量和公布位置。（5）经营人属物业委托（租赁）的，须有明确的委托（租赁）关系书面证明文件。（6）室内停车场必须出具公安消防部门的验收合格证明，室外停车场须出具公安消防部门的验收合格证明或提供公安消防部门认可的消防器材配备方案。（7）其他资料：机动车停车场所需要进行建筑设置的，应提交规划批准手续；属于规划配建的停车场须提交城市规划部门批准文件和规划验收合格证；机械式车库必须提供特种设备质量安全检测合格证；住宅区内非规划配建的停车场申请备案的，必须出具所在小区业主大会、业主代表大会或业主委员会关于同意设立停车场的书面证明文件。2、临时公共停车场登记备案应提供以下资料：（1）临时停车场开办书（2）合法的场地使用权证明（土地使用权证明文件或产权证明文件）。国有拆迁土地待建工地持房管部门、集体转征土地待建工地持国土部门同意开办证明；（3）平面图及规划红线图复印件；（4）停车泊位布置图（图中必须清楚标明车位停放、交通走向、通道、停车位的尺寸，停车场名称及车位总数）和场地的街道位置示意图；（5）经营人属委托（租赁）的，须有明确的委托（租赁）关系书面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责任主体</w:t>
            </w:r>
          </w:p>
        </w:tc>
        <w:tc>
          <w:tcPr>
            <w:tcW w:w="7230" w:type="dxa"/>
          </w:tcPr>
          <w:p>
            <w:pPr>
              <w:pStyle w:val="19"/>
              <w:spacing w:line="360" w:lineRule="exact"/>
              <w:jc w:val="center"/>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color w:val="000000"/>
                <w:sz w:val="21"/>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w:t>
            </w:r>
          </w:p>
        </w:tc>
        <w:tc>
          <w:tcPr>
            <w:tcW w:w="7230" w:type="dxa"/>
          </w:tcPr>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1.立项责任：公示应当提交的材料，对书面申请材料进行形式审查，一次性告知补正材料，依法受理或不予受理（不予受理应当告知理由，并告知申请人享有依法申请行政复议或者提起行政诉讼的权力）。</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2.审查责任：对书面申请材料进行审查，并提出意见。</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3.批准责任：在规定时间内作出行政许可或不予行政许可的决定（不予行政许可的应当书面告知理由，并告知申请人享有依法申请行政复议或者提起行政诉讼的权力）。</w:t>
            </w:r>
          </w:p>
          <w:p>
            <w:pPr>
              <w:widowControl/>
              <w:spacing w:line="360" w:lineRule="exact"/>
              <w:ind w:firstLine="420" w:firstLineChars="200"/>
              <w:jc w:val="left"/>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4.发布备案责任：完整准确地记录和保存备案信息材料，依法向社会公示。</w:t>
            </w:r>
          </w:p>
          <w:p>
            <w:pPr>
              <w:spacing w:line="360" w:lineRule="exact"/>
              <w:ind w:firstLine="420" w:firstLineChars="200"/>
              <w:textAlignment w:val="center"/>
              <w:rPr>
                <w:rFonts w:ascii="Times New Roman" w:hAnsi="Times New Roman" w:cs="方正仿宋简体" w:eastAsiaTheme="minorEastAsia"/>
                <w:color w:val="000000"/>
                <w:kern w:val="0"/>
                <w:szCs w:val="21"/>
              </w:rPr>
            </w:pPr>
            <w:r>
              <w:rPr>
                <w:rFonts w:hint="eastAsia" w:ascii="Times New Roman" w:hAnsi="Times New Roman" w:cs="方正仿宋简体" w:eastAsiaTheme="minorEastAsia"/>
                <w:color w:val="000000"/>
                <w:kern w:val="0"/>
                <w:szCs w:val="21"/>
              </w:rPr>
              <w:t>5.其它责任：法律法规规定应履行的其它责任。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责任事项依据</w:t>
            </w:r>
          </w:p>
        </w:tc>
        <w:tc>
          <w:tcPr>
            <w:tcW w:w="7230" w:type="dxa"/>
          </w:tcPr>
          <w:p>
            <w:pPr>
              <w:pStyle w:val="19"/>
              <w:spacing w:line="360" w:lineRule="exact"/>
              <w:ind w:firstLine="420" w:firstLineChars="200"/>
              <w:textAlignment w:val="center"/>
              <w:rPr>
                <w:rFonts w:ascii="Times New Roman" w:hAnsi="Times New Roman" w:cs="方正仿宋简体" w:eastAsiaTheme="minorEastAsia"/>
                <w:color w:val="000000"/>
                <w:sz w:val="21"/>
                <w:szCs w:val="21"/>
              </w:rPr>
            </w:pPr>
            <w:r>
              <w:rPr>
                <w:rFonts w:ascii="Times New Roman" w:hAnsi="Times New Roman" w:cs="方正仿宋简体" w:eastAsiaTheme="minorEastAsia"/>
                <w:color w:val="000000"/>
                <w:sz w:val="21"/>
                <w:szCs w:val="21"/>
              </w:rPr>
              <w:t>1</w:t>
            </w:r>
            <w:r>
              <w:rPr>
                <w:rFonts w:hint="eastAsia" w:ascii="Times New Roman" w:hAnsi="Times New Roman" w:cs="方正仿宋简体" w:eastAsiaTheme="minorEastAsia"/>
                <w:color w:val="000000"/>
                <w:sz w:val="21"/>
                <w:szCs w:val="21"/>
              </w:rPr>
              <w:t>.《成都市机动车停车场管理办法实施意见》第七项：公共停车场管理实行备案制，公共停车场应当在投入使用前向所在地县级交通行政管理部门申办登记备案。场地及设施符合要求，申办备案资料齐全，且符合不影响交通和市政公用设施正常使用基本设置原则的公共停车场均可在交通行政管理部门备案。交通行政管理部门对申请备案的公共停车场，应当进行实地勘验，对符合要求的发给备案证书、备案通知书及附表。申办者持备案通知书及附表到物价、地税部门办理有关登记手续。</w:t>
            </w:r>
            <w:r>
              <w:rPr>
                <w:rFonts w:ascii="Times New Roman" w:hAnsi="Times New Roman" w:cs="方正仿宋简体" w:eastAsiaTheme="minorEastAsia"/>
                <w:color w:val="000000"/>
                <w:sz w:val="21"/>
                <w:szCs w:val="21"/>
              </w:rPr>
              <w:t xml:space="preserve"> </w:t>
            </w:r>
          </w:p>
          <w:p>
            <w:pPr>
              <w:pStyle w:val="19"/>
              <w:spacing w:line="360" w:lineRule="exact"/>
              <w:ind w:firstLine="420" w:firstLineChars="200"/>
              <w:textAlignment w:val="center"/>
              <w:rPr>
                <w:rFonts w:ascii="Times New Roman" w:hAnsi="Times New Roman" w:cs="方正仿宋简体" w:eastAsiaTheme="minorEastAsia"/>
                <w:color w:val="000000"/>
                <w:sz w:val="21"/>
                <w:szCs w:val="21"/>
              </w:rPr>
            </w:pPr>
            <w:r>
              <w:rPr>
                <w:rFonts w:hint="eastAsia" w:ascii="Times New Roman" w:hAnsi="Times New Roman" w:cs="方正仿宋简体" w:eastAsiaTheme="minorEastAsia"/>
                <w:color w:val="000000"/>
                <w:sz w:val="21"/>
                <w:szCs w:val="21"/>
              </w:rPr>
              <w:t>2.同上。</w:t>
            </w:r>
            <w:r>
              <w:rPr>
                <w:rFonts w:ascii="Times New Roman" w:hAnsi="Times New Roman" w:cs="方正仿宋简体" w:eastAsiaTheme="minorEastAsia"/>
                <w:color w:val="000000"/>
                <w:sz w:val="21"/>
                <w:szCs w:val="21"/>
              </w:rPr>
              <w:br w:type="textWrapping"/>
            </w:r>
            <w:r>
              <w:rPr>
                <w:rFonts w:hint="eastAsia" w:ascii="Times New Roman" w:hAnsi="Times New Roman" w:cs="方正仿宋简体" w:eastAsiaTheme="minorEastAsia"/>
                <w:color w:val="000000"/>
                <w:sz w:val="21"/>
                <w:szCs w:val="21"/>
              </w:rPr>
              <w:t xml:space="preserve">    3.同上。</w:t>
            </w:r>
            <w:r>
              <w:rPr>
                <w:rFonts w:ascii="Times New Roman" w:hAnsi="Times New Roman" w:cs="方正仿宋简体" w:eastAsiaTheme="minorEastAsia"/>
                <w:color w:val="000000"/>
                <w:sz w:val="21"/>
                <w:szCs w:val="21"/>
              </w:rPr>
              <w:br w:type="textWrapping"/>
            </w:r>
            <w:r>
              <w:rPr>
                <w:rFonts w:hint="eastAsia" w:ascii="Times New Roman" w:hAnsi="Times New Roman" w:cs="方正仿宋简体" w:eastAsiaTheme="minorEastAsia"/>
                <w:color w:val="000000"/>
                <w:sz w:val="21"/>
                <w:szCs w:val="21"/>
              </w:rPr>
              <w:t xml:space="preserve">    4.同上。</w:t>
            </w:r>
            <w:r>
              <w:rPr>
                <w:rFonts w:ascii="Times New Roman" w:hAnsi="Times New Roman" w:cs="方正仿宋简体" w:eastAsiaTheme="minorEastAsia"/>
                <w:color w:val="000000"/>
                <w:sz w:val="21"/>
                <w:szCs w:val="21"/>
              </w:rPr>
              <w:br w:type="textWrapping"/>
            </w:r>
            <w:r>
              <w:rPr>
                <w:rFonts w:hint="eastAsia" w:ascii="Times New Roman" w:hAnsi="Times New Roman" w:cs="方正仿宋简体" w:eastAsiaTheme="minorEastAsia"/>
                <w:color w:val="000000"/>
                <w:sz w:val="21"/>
                <w:szCs w:val="21"/>
              </w:rPr>
              <w:t xml:space="preserve">    5.同上。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p>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追责情形</w:t>
            </w:r>
          </w:p>
        </w:tc>
        <w:tc>
          <w:tcPr>
            <w:tcW w:w="7230" w:type="dxa"/>
          </w:tcPr>
          <w:p>
            <w:pPr>
              <w:pStyle w:val="19"/>
              <w:spacing w:line="360" w:lineRule="exact"/>
              <w:textAlignment w:val="center"/>
              <w:rPr>
                <w:rFonts w:ascii="Times New Roman" w:hAnsi="Times New Roman" w:cs="方正仿宋简体" w:eastAsiaTheme="minorEastAsia"/>
                <w:sz w:val="21"/>
                <w:szCs w:val="21"/>
              </w:rPr>
            </w:pPr>
            <w:r>
              <w:rPr>
                <w:rFonts w:hint="eastAsia" w:ascii="Times New Roman" w:hAnsi="Times New Roman" w:cs="方正仿宋简体" w:eastAsiaTheme="minorEastAsia"/>
                <w:sz w:val="21"/>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09" w:type="dxa"/>
            <w:vAlign w:val="center"/>
          </w:tcPr>
          <w:p>
            <w:pPr>
              <w:widowControl/>
              <w:spacing w:line="360" w:lineRule="exact"/>
              <w:jc w:val="center"/>
              <w:textAlignment w:val="center"/>
              <w:rPr>
                <w:rFonts w:ascii="Times New Roman" w:hAnsi="Times New Roman" w:cs="宋体" w:eastAsiaTheme="majorEastAsia"/>
                <w:color w:val="000000"/>
                <w:kern w:val="0"/>
                <w:szCs w:val="21"/>
              </w:rPr>
            </w:pPr>
            <w:r>
              <w:rPr>
                <w:rFonts w:hint="eastAsia" w:ascii="Times New Roman" w:hAnsi="Times New Roman" w:cs="宋体" w:eastAsiaTheme="majorEastAsia"/>
                <w:color w:val="000000"/>
                <w:kern w:val="0"/>
                <w:szCs w:val="21"/>
              </w:rPr>
              <w:t>监督电话</w:t>
            </w:r>
          </w:p>
        </w:tc>
        <w:tc>
          <w:tcPr>
            <w:tcW w:w="7230" w:type="dxa"/>
          </w:tcPr>
          <w:p>
            <w:pPr>
              <w:pStyle w:val="19"/>
              <w:spacing w:line="360" w:lineRule="exact"/>
              <w:jc w:val="center"/>
              <w:textAlignment w:val="center"/>
              <w:rPr>
                <w:rFonts w:ascii="Times New Roman" w:hAnsi="Times New Roman" w:eastAsiaTheme="minorEastAsia"/>
                <w:sz w:val="21"/>
                <w:szCs w:val="21"/>
              </w:rPr>
            </w:pPr>
            <w:r>
              <w:rPr>
                <w:rFonts w:hint="eastAsia" w:ascii="Times New Roman" w:hAnsi="Times New Roman" w:cs="方正仿宋简体" w:eastAsiaTheme="minorEastAsia"/>
                <w:sz w:val="21"/>
                <w:szCs w:val="21"/>
              </w:rPr>
              <w:t>028-84384493</w:t>
            </w:r>
          </w:p>
        </w:tc>
      </w:tr>
    </w:tbl>
    <w:p>
      <w:pPr>
        <w:widowControl/>
        <w:spacing w:line="360" w:lineRule="exact"/>
        <w:jc w:val="lef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rPr>
      </w:pPr>
      <w:r>
        <w:rPr>
          <w:rFonts w:hint="eastAsia" w:ascii="Times New Roman" w:hAnsi="Times New Roman"/>
        </w:rPr>
        <w:t>表2-182</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农作物种子经营备案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exact"/>
              <w:jc w:val="left"/>
              <w:rPr>
                <w:rFonts w:ascii="Times New Roman" w:hAnsi="Times New Roman"/>
              </w:rPr>
            </w:pPr>
            <w:r>
              <w:rPr>
                <w:rFonts w:hint="eastAsia" w:ascii="Times New Roman" w:hAnsi="Times New Roman"/>
              </w:rPr>
              <w:t>1.《中华人民共和国种子法》（2000年7月8日第九届全国人民代表大会常务委员会第十六次会议通过根据2004年8月28日第十届全国人民代表大会常务委员会第十一次会议《关于修改〈中华人民共和国种子法〉的决定》第一次修正根据2013年6月29日第十二届全国人民代表大会常务委员会第三次会议《关于修改〈中华人民共和国文物保护法〉等十二部法律的决定》第二次修正　2015年11月4日第十二届全国人民代表大会常务委员会第十七次会议修订）第三十八条：“种子生产经营许可证的有效区域由发证机关在其管辖范围内确定。种子生产经营者在种子生产经营许可证载明的有效区域设立分支机构的，专门经营不再分装的包装种子的，或者受具有种子生产经营许可证的种子生产经营者以书面委托生产、代销其种子的，不需要办理种子生产经营许可证，但应当向当地农业、林业主管部门备案。”</w:t>
            </w:r>
          </w:p>
          <w:p>
            <w:pPr>
              <w:widowControl/>
              <w:shd w:val="clear" w:color="auto" w:fill="FFFFFF"/>
              <w:spacing w:line="360" w:lineRule="exact"/>
              <w:jc w:val="left"/>
              <w:rPr>
                <w:rFonts w:ascii="Times New Roman" w:hAnsi="Times New Roman"/>
              </w:rPr>
            </w:pPr>
            <w:r>
              <w:rPr>
                <w:rFonts w:hint="eastAsia" w:ascii="Times New Roman" w:hAnsi="Times New Roman"/>
              </w:rPr>
              <w:t>2.《农作物种子生产经营许可管理办法》（2011年农业部第4次常务会议审议通过，自2011年9月25日起施行）第二十二条：“种子生产经营者在种子生产经营许可证载明有效区域设立的分支机构，应当在取得或变更分支机构营业执照后十五个工作日内向当地县级农业主管部门备案。备案时应当提交分支机构的营业执照复印件、设立企业的种子生产经营许可证复印件以及分支机构名称、住所、负责人、联系方式等材料。” 第二十三条：“专门经营不再分装的包装种子或者受具有种子生产经营许可证的企业书面委托代销其种子的，应当在种子销售前向当地县级农业主管部门备案，并建立种子销售台账。备案时应当提交种子销售者的营业执照复印件、种子购销凭证或委托代销合同复印件，以及种子销售者名称、住所、经营方式、负责人、联系方式、销售地点、品种名称、种子数量等材料。种子销售台账应当如实记录销售种子的品种名称、种子数量、种子来源和种子去向。” 第二十四条：“受具有种子生产经营许可证的企业书面委托生产其种子的，应当在种子播种前向当地县级农业主管部门备案。备案时应当提交委托企业的种子生产经营许可证复印件、委托生产合同，以及种子生产者名称、住所、负责人、联系方式、品种名称、生产地点、生产面积等材料。受托生产杂交玉米、杂交稻种子的,还应当提交与生产所在地农户、农民合作组织或村委会的生产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3.解释备案责任：在规定期限内作出换发或不予换发的结论，不予换发应告知理由，并告知相对人申请复议或提起行政诉讼的权利。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rPr>
            </w:pPr>
            <w:r>
              <w:rPr>
                <w:rFonts w:hint="eastAsia" w:ascii="Times New Roman" w:hAnsi="Times New Roman"/>
                <w:szCs w:val="21"/>
              </w:rPr>
              <w:t>1-2.</w:t>
            </w:r>
            <w:r>
              <w:rPr>
                <w:rFonts w:hint="eastAsia" w:ascii="Times New Roman" w:hAnsi="Times New Roman"/>
              </w:rPr>
              <w:t>《中华人民共和国种子法》（2000年7月8日第九届全国人民代表大会常务委员会第十六次会议通过根据2004年8月28日第十届全国人民代表大会常务委员会第十一次会议《关于修改〈中华人民共和国种子法〉的决定》第一次修正根据2013年6月29日第十二届全国人民代表大会常务委员会第三次会议《关于修改〈中华人民共和国文物保护法〉等十二部法律的决定》第二次修正　2015年11月4日第十二届全国人民代表大会常务委员会第十七次会议修订）第三十八条：“种子生产经营许可证的有效区域由发证机关在其管辖范围内确定。种子生产经营者在种子生产经营许可证载明的有效区域设立分支机构的，专门经营不再分装的包装种子的，或者受具有种子生产经营许可证的种子生产经营者以书面委托生产、代销其种子的，不需要办理种子生产经营许可证，但应当向当地农业、林业主管部门备案。”</w:t>
            </w:r>
          </w:p>
          <w:p>
            <w:pPr>
              <w:spacing w:line="360" w:lineRule="exact"/>
              <w:ind w:firstLine="420" w:firstLineChars="200"/>
              <w:jc w:val="left"/>
              <w:rPr>
                <w:rFonts w:ascii="Times New Roman" w:hAnsi="Times New Roman"/>
              </w:rPr>
            </w:pPr>
            <w:r>
              <w:rPr>
                <w:rFonts w:hint="eastAsia" w:ascii="Times New Roman" w:hAnsi="Times New Roman"/>
              </w:rPr>
              <w:t>1-3.《农作物种子生产经营许可管理办法》（2011年农业部第4次常务会议审议通过，自2011年9月25日起施行）第二十二条：“种子生产经营者在种子生产经营许可证载明有效区域设立的分支机构，应当在取得或变更分支机构营业执照后十五个工作日内向当地县级农业主管部门备案。备案时应当提交分支机构的营业执照复印件、设立企业的种子生产经营许可证复印件以及分支机构名称、住所、负责人、联系方式等材料。” 第二十三条：“专门经营不再分装的包装种子或者受具有种子生产经营许可证的企业书面委托代销其种子的，应当在种子销售前向当地县级农业主管部门备案，并建立种子销售台账。备案时应当提交种子销售者的营业执照复印件、种子购销凭证或委托代销合同复印件，以及种子销售者名称、住所、经营方式、负责人、联系方式、销售地点、品种名称、种子数量等材料。种子销售台账应当如实记录销售种子的品种名称、种子数量、种子来源和种子去向。” 第二十四条：“受具有种子生产经营许可证的企业书面委托生产其种子的，应当在种子播种前向当地县级农业主管部门备案。备案时应当提交委托企业的种子生产经营许可证复印件、委托生产合同，以及种子生产者名称、住所、负责人、联系方式、品种名称、生产地点、生产面积等材料。受托生产杂交玉米、杂交稻种子的,还应当提交与生产所在地农户、农民合作组织或村委会的生产协议。”</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《中华人民共和国种子法》、《农作物种子生产经营许可证管理办法》、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表2-183</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三级运动员等级证核发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shd w:val="clear" w:color="auto" w:fill="FFFFFF"/>
              </w:rPr>
            </w:pPr>
            <w:r>
              <w:rPr>
                <w:rFonts w:hint="eastAsia" w:ascii="Times New Roman" w:hAnsi="Times New Roman"/>
                <w:szCs w:val="21"/>
                <w:shd w:val="clear" w:color="auto" w:fill="FFFFFF"/>
              </w:rPr>
              <w:t>1.《中华人民共和国体育法》（</w:t>
            </w:r>
            <w:r>
              <w:rPr>
                <w:rFonts w:hint="eastAsia" w:ascii="Times New Roman" w:hAnsi="Times New Roman"/>
                <w:szCs w:val="21"/>
              </w:rPr>
              <w:t>1995年8月29日第八届全国人民代表大会常务委员会第十五次会议通过；根据2009年8月27日第十一届全国人民代表大会常务委员会第十次会议《关于修改部分法律的决定》修正</w:t>
            </w:r>
            <w:r>
              <w:rPr>
                <w:rFonts w:hint="eastAsia" w:ascii="Times New Roman" w:hAnsi="Times New Roman"/>
                <w:szCs w:val="21"/>
                <w:shd w:val="clear" w:color="auto" w:fill="FFFFFF"/>
              </w:rPr>
              <w:t>）第三十条：“国家实行运动员技术等级、裁判员技术等级和教练员专业技术职务等级制度。”</w:t>
            </w:r>
          </w:p>
          <w:p>
            <w:pPr>
              <w:spacing w:line="360" w:lineRule="exact"/>
              <w:ind w:firstLine="420" w:firstLineChars="200"/>
              <w:rPr>
                <w:rFonts w:ascii="Times New Roman" w:hAnsi="Times New Roman" w:cs="Arial"/>
                <w:szCs w:val="21"/>
                <w:shd w:val="clear" w:color="auto" w:fill="FFFFFF"/>
              </w:rPr>
            </w:pPr>
            <w:r>
              <w:rPr>
                <w:rFonts w:hint="eastAsia" w:ascii="Times New Roman" w:hAnsi="Times New Roman"/>
                <w:szCs w:val="21"/>
                <w:shd w:val="clear" w:color="auto" w:fill="FFFFFF"/>
              </w:rPr>
              <w:t>2.《运动员技术等级管理办法》（2014年，</w:t>
            </w:r>
            <w:r>
              <w:rPr>
                <w:rFonts w:ascii="Times New Roman" w:hAnsi="Times New Roman" w:cs="Arial"/>
                <w:szCs w:val="21"/>
                <w:shd w:val="clear" w:color="auto" w:fill="FFFFFF"/>
              </w:rPr>
              <w:t>国家体育总局令第18号</w:t>
            </w:r>
            <w:r>
              <w:rPr>
                <w:rFonts w:hint="eastAsia" w:ascii="Times New Roman" w:hAnsi="Times New Roman" w:cs="Arial"/>
                <w:szCs w:val="21"/>
                <w:shd w:val="clear" w:color="auto" w:fill="FFFFFF"/>
              </w:rPr>
              <w:t>）第二条：“国家体育总局（以下简称“总局”）实行运动员技术等级审批制度。运动员技术等级称号（以下简称“等级称号”）依申请获得。”第六条：“等级称号的申请、审核、审批，应当遵循公开、公正、效率原则。”第七条：“等级称号的管理实行分级审批、分级授权。”</w:t>
            </w:r>
            <w:r>
              <w:rPr>
                <w:rFonts w:hint="eastAsia" w:ascii="Times New Roman" w:hAnsi="Times New Roman"/>
                <w:szCs w:val="21"/>
                <w:shd w:val="clear" w:color="auto" w:fill="FFFFFF"/>
              </w:rPr>
              <w:t>第十</w:t>
            </w:r>
            <w:r>
              <w:rPr>
                <w:rFonts w:hint="eastAsia" w:ascii="Times New Roman" w:hAnsi="Times New Roman" w:cs="Arial"/>
                <w:szCs w:val="21"/>
                <w:shd w:val="clear" w:color="auto" w:fill="FFFFFF"/>
              </w:rPr>
              <w:t>条：</w:t>
            </w:r>
            <w:r>
              <w:rPr>
                <w:rFonts w:ascii="Times New Roman" w:hAnsi="Times New Roman" w:cs="Arial"/>
                <w:szCs w:val="21"/>
                <w:shd w:val="clear" w:color="auto" w:fill="FFFFFF"/>
              </w:rPr>
              <w:t>“</w:t>
            </w:r>
            <w:r>
              <w:rPr>
                <w:rFonts w:hint="eastAsia" w:ascii="Times New Roman" w:hAnsi="Times New Roman" w:cs="Arial"/>
                <w:szCs w:val="21"/>
                <w:shd w:val="clear" w:color="auto" w:fill="FFFFFF"/>
              </w:rPr>
              <w:t>各</w:t>
            </w:r>
            <w:r>
              <w:rPr>
                <w:rFonts w:hint="eastAsia" w:ascii="Times New Roman" w:hAnsi="Times New Roman"/>
                <w:szCs w:val="21"/>
                <w:shd w:val="clear" w:color="auto" w:fill="FFFFFF"/>
              </w:rPr>
              <w:t>省级体育行政部门根据实际情况，可以将二级运动员、三级运动员审批权授予本行政区域内地市级体育行政部门，可以将三级运动员审批权授予本行政区域内县级体育行政部门。</w:t>
            </w:r>
            <w:r>
              <w:rPr>
                <w:rFonts w:ascii="Times New Roman" w:hAnsi="Times New Roman"/>
                <w:szCs w:val="21"/>
                <w:shd w:val="clear" w:color="auto" w:fill="FFFFFF"/>
              </w:rPr>
              <w:t>”</w:t>
            </w:r>
            <w:r>
              <w:rPr>
                <w:rFonts w:hint="eastAsia" w:ascii="Times New Roman" w:hAnsi="Times New Roman"/>
                <w:szCs w:val="21"/>
              </w:rPr>
              <w:t>第十九条第二款：“一级运动员、二级运动员、三级运动员的审核部门由各审批单位自行确定，一般应当为下属事业单位或下级体育行政部门。”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cs="Arial"/>
                <w:szCs w:val="21"/>
                <w:shd w:val="clear" w:color="auto" w:fill="FFFFFF"/>
              </w:rPr>
            </w:pPr>
            <w:r>
              <w:rPr>
                <w:rFonts w:hint="eastAsia" w:ascii="Times New Roman" w:hAnsi="Times New Roman" w:cs="Arial"/>
                <w:szCs w:val="21"/>
                <w:shd w:val="clear" w:color="auto" w:fill="FFFFFF"/>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hd w:val="clear" w:color="auto" w:fill="FFFFFF"/>
              <w:spacing w:line="360" w:lineRule="exact"/>
              <w:ind w:firstLine="480"/>
              <w:rPr>
                <w:rFonts w:ascii="Times New Roman" w:hAnsi="Times New Roman"/>
                <w:szCs w:val="21"/>
                <w:shd w:val="clear" w:color="auto" w:fill="FFFFFF"/>
              </w:rPr>
            </w:pPr>
            <w:r>
              <w:rPr>
                <w:rFonts w:ascii="Times New Roman" w:hAnsi="Times New Roman" w:cs="Arial"/>
                <w:szCs w:val="21"/>
                <w:shd w:val="clear" w:color="auto" w:fill="FFFFFF"/>
              </w:rPr>
              <w:t>1-2.</w:t>
            </w:r>
            <w:r>
              <w:rPr>
                <w:rFonts w:hint="eastAsia" w:ascii="Times New Roman" w:hAnsi="Times New Roman"/>
                <w:szCs w:val="21"/>
                <w:shd w:val="clear" w:color="auto" w:fill="FFFFFF"/>
              </w:rPr>
              <w:t>《运动员技术等级管理办法》（2014年，</w:t>
            </w:r>
            <w:r>
              <w:rPr>
                <w:rFonts w:ascii="Times New Roman" w:hAnsi="Times New Roman"/>
                <w:szCs w:val="21"/>
                <w:shd w:val="clear" w:color="auto" w:fill="FFFFFF"/>
              </w:rPr>
              <w:t>国家体育总局令第18号</w:t>
            </w:r>
            <w:r>
              <w:rPr>
                <w:rFonts w:hint="eastAsia" w:ascii="Times New Roman" w:hAnsi="Times New Roman"/>
                <w:szCs w:val="21"/>
                <w:shd w:val="clear" w:color="auto" w:fill="FFFFFF"/>
              </w:rPr>
              <w:t>）第十三条：“运动员以测试或其他非正式身份参加比赛获得的成绩，不得申请等级称号。”第十四条：“运动员应当在取得成绩后6个月内申请等级称号，超过此期限的申请不予受理。联赛和积分赛成绩以最后一场比赛结束时间为准，排名以公布时间为准，其他比赛以取得成绩时间为准。”第十五条：“运动员申请等级称号应当向其所在单位提出申请，并提交以下材料：（一）《运动员技术等级称号申请表》；（二）成绩证明材料，包括秩序册、成绩册、获奖证书等原件。”第十六条：“运动员所在单位同意后，在《运动员技术等级称号申请表》“申请单位意见”栏加盖公章，将申请材料报审核部门。”第十七条：“申请集体球类项目等级称号的，运动员应当向参赛代表单位提出申请。参赛代表单位应当将按同一成绩申请等级称号的申请材料汇总后，一次性报审核部门。”第十八条：“审核部门收到申请材料后，应当在1个月内完成审核工作。对申请材料审核无异议的，审核部门在《运动员技术等级称号申请表》“审核部门意见”栏加盖公章，将申请材料报审批单位。申请材料不符合规定的，审核部门应当说明理由，并将申请材料退还申请单位或运动员本人。”</w:t>
            </w:r>
          </w:p>
          <w:p>
            <w:pPr>
              <w:shd w:val="clear" w:color="auto" w:fill="FFFFFF"/>
              <w:spacing w:line="360" w:lineRule="exact"/>
              <w:ind w:firstLine="480"/>
              <w:rPr>
                <w:rFonts w:ascii="Times New Roman" w:hAnsi="Times New Roman" w:cs="Arial"/>
                <w:szCs w:val="21"/>
                <w:shd w:val="clear" w:color="auto" w:fill="FFFFFF"/>
              </w:rPr>
            </w:pPr>
            <w:r>
              <w:rPr>
                <w:rFonts w:hint="eastAsia" w:ascii="Times New Roman" w:hAnsi="Times New Roman" w:cs="Arial"/>
                <w:szCs w:val="21"/>
                <w:shd w:val="clear" w:color="auto" w:fill="FFFFFF"/>
              </w:rPr>
              <w:t>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hd w:val="clear" w:color="auto" w:fill="FFFFFF"/>
              <w:spacing w:line="360" w:lineRule="exact"/>
              <w:ind w:firstLine="480"/>
              <w:rPr>
                <w:rFonts w:ascii="Times New Roman" w:hAnsi="Times New Roman" w:cs="Arial"/>
                <w:kern w:val="0"/>
                <w:szCs w:val="21"/>
              </w:rPr>
            </w:pPr>
            <w:r>
              <w:rPr>
                <w:rFonts w:ascii="Times New Roman" w:hAnsi="Times New Roman" w:cs="Arial"/>
                <w:szCs w:val="21"/>
                <w:shd w:val="clear" w:color="auto" w:fill="FFFFFF"/>
              </w:rPr>
              <w:t>2-2.</w:t>
            </w:r>
            <w:r>
              <w:rPr>
                <w:rFonts w:hint="eastAsia" w:ascii="Times New Roman" w:hAnsi="Times New Roman"/>
                <w:szCs w:val="21"/>
                <w:shd w:val="clear" w:color="auto" w:fill="FFFFFF"/>
              </w:rPr>
              <w:t>《运动员技术等级管理办法》（2014年，</w:t>
            </w:r>
            <w:r>
              <w:rPr>
                <w:rFonts w:ascii="Times New Roman" w:hAnsi="Times New Roman"/>
                <w:szCs w:val="21"/>
                <w:shd w:val="clear" w:color="auto" w:fill="FFFFFF"/>
              </w:rPr>
              <w:t>国家体育总局令第18号</w:t>
            </w:r>
            <w:r>
              <w:rPr>
                <w:rFonts w:hint="eastAsia" w:ascii="Times New Roman" w:hAnsi="Times New Roman"/>
                <w:szCs w:val="21"/>
                <w:shd w:val="clear" w:color="auto" w:fill="FFFFFF"/>
              </w:rPr>
              <w:t>）第十八条：“</w:t>
            </w:r>
            <w:r>
              <w:rPr>
                <w:rFonts w:ascii="Times New Roman" w:hAnsi="Times New Roman" w:cs="Arial"/>
                <w:kern w:val="0"/>
                <w:szCs w:val="21"/>
              </w:rPr>
              <w:t>审核部门收到申请材料后，应当在1个月内完成审核工作。对申请材料审核无异议的，审核部门在《运动员技术等级称号申请表》“审核部门意见”栏加盖公章，将申请材料报审批单位。申请材料不符合规定的，审核部门应当说明理由，并将申请材料退还申请单位或运动员本人。</w:t>
            </w:r>
            <w:r>
              <w:rPr>
                <w:rFonts w:hint="eastAsia" w:ascii="Times New Roman" w:hAnsi="Times New Roman" w:cs="Arial"/>
                <w:kern w:val="0"/>
                <w:szCs w:val="21"/>
              </w:rPr>
              <w:t>”</w:t>
            </w:r>
          </w:p>
          <w:p>
            <w:pPr>
              <w:shd w:val="clear" w:color="auto" w:fill="FFFFFF"/>
              <w:spacing w:line="360" w:lineRule="exact"/>
              <w:ind w:firstLine="480"/>
              <w:rPr>
                <w:rFonts w:ascii="Times New Roman" w:hAnsi="Times New Roman" w:cs="Arial"/>
                <w:kern w:val="0"/>
                <w:szCs w:val="21"/>
              </w:rPr>
            </w:pPr>
            <w:r>
              <w:rPr>
                <w:rFonts w:hint="eastAsia" w:ascii="Times New Roman" w:hAnsi="Times New Roman" w:cs="Arial"/>
                <w:kern w:val="0"/>
                <w:szCs w:val="21"/>
              </w:rPr>
              <w:t>3-1.同2-1.《中华人民共和国行政许可法》第三十四条</w:t>
            </w:r>
          </w:p>
          <w:p>
            <w:pPr>
              <w:shd w:val="clear" w:color="auto" w:fill="FFFFFF"/>
              <w:spacing w:line="360" w:lineRule="exact"/>
              <w:ind w:firstLine="480"/>
              <w:rPr>
                <w:rFonts w:ascii="Times New Roman" w:hAnsi="Times New Roman" w:cs="Arial"/>
                <w:kern w:val="0"/>
                <w:szCs w:val="21"/>
              </w:rPr>
            </w:pPr>
            <w:r>
              <w:rPr>
                <w:rFonts w:hint="eastAsia" w:ascii="Times New Roman" w:hAnsi="Times New Roman" w:cs="Arial"/>
                <w:kern w:val="0"/>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p>
          <w:p>
            <w:pPr>
              <w:shd w:val="clear" w:color="auto" w:fill="FFFFFF"/>
              <w:spacing w:line="360" w:lineRule="exact"/>
              <w:ind w:firstLine="480"/>
              <w:rPr>
                <w:rFonts w:ascii="Times New Roman" w:hAnsi="Times New Roman" w:cs="Arial"/>
                <w:kern w:val="0"/>
                <w:szCs w:val="21"/>
              </w:rPr>
            </w:pPr>
            <w:r>
              <w:rPr>
                <w:rFonts w:ascii="Times New Roman" w:hAnsi="Times New Roman" w:cs="Arial"/>
                <w:kern w:val="0"/>
                <w:szCs w:val="21"/>
              </w:rPr>
              <w:t>3-3.</w:t>
            </w:r>
            <w:r>
              <w:rPr>
                <w:rFonts w:hint="eastAsia" w:ascii="Times New Roman" w:hAnsi="Times New Roman"/>
                <w:szCs w:val="21"/>
                <w:shd w:val="clear" w:color="auto" w:fill="FFFFFF"/>
              </w:rPr>
              <w:t>《运动员技术等级管理办法》（2014年，</w:t>
            </w:r>
            <w:r>
              <w:rPr>
                <w:rFonts w:ascii="Times New Roman" w:hAnsi="Times New Roman"/>
                <w:szCs w:val="21"/>
                <w:shd w:val="clear" w:color="auto" w:fill="FFFFFF"/>
              </w:rPr>
              <w:t>国家体育总局令第18号</w:t>
            </w:r>
            <w:r>
              <w:rPr>
                <w:rFonts w:hint="eastAsia" w:ascii="Times New Roman" w:hAnsi="Times New Roman"/>
                <w:szCs w:val="21"/>
                <w:shd w:val="clear" w:color="auto" w:fill="FFFFFF"/>
              </w:rPr>
              <w:t>）</w:t>
            </w:r>
            <w:r>
              <w:rPr>
                <w:rFonts w:hint="eastAsia" w:ascii="Times New Roman" w:hAnsi="Times New Roman" w:cs="Arial"/>
                <w:kern w:val="0"/>
                <w:szCs w:val="21"/>
              </w:rPr>
              <w:t>第二十二条：“审批单位收到申请材料后，应当在6个月内完成审批工作。”第二十三条：“对符合条件的申请，审批单位按以下程序完成审批工作：（一）公示：审批单位将拟授予等级称号的运动员姓名、性别、运动项目、参赛代表单位等信息在官方网站等媒介进行公示，公示期为7个工作日；（二）批准：公示期满无异议的，审批单位以文件形式批准授予等级称号；（三）公布：审批单位将授予国际级运动健将、运动健将、一级运动员、二级运动员的信息在“运动员技术等级综合查询系统”（jsdj.sport.gov.cn）上公布；（四）存档：审批单位应当留存一份《运动员技术等级称号申请表》和成绩证明复印件等资料，存档备案。”第二十四条：“对不符合条件的申请，审批单位应当说明理由，并将申请材料退还审核部门或运动员本人。”</w:t>
            </w:r>
          </w:p>
          <w:p>
            <w:pPr>
              <w:snapToGrid w:val="0"/>
              <w:spacing w:line="360" w:lineRule="exact"/>
              <w:ind w:firstLine="525" w:firstLineChars="250"/>
              <w:jc w:val="left"/>
              <w:rPr>
                <w:rFonts w:ascii="Times New Roman" w:hAnsi="Times New Roman"/>
                <w:szCs w:val="21"/>
              </w:rPr>
            </w:pPr>
            <w:r>
              <w:rPr>
                <w:rFonts w:hint="eastAsia" w:ascii="Times New Roman" w:hAnsi="Times New Roman"/>
                <w:szCs w:val="21"/>
              </w:rPr>
              <w:t>4-1.《中华人民共和国行政许可法》第四十四条：“行政机关作出准予行政许可的决定，应当自作出决定之日起十日内向申请人颁发、送达行政许可证件，或者加贴标签、加盖检验、检测、检疫印章。”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rPr>
                <w:rFonts w:ascii="Times New Roman" w:hAnsi="Times New Roman" w:cs="Arial"/>
                <w:szCs w:val="21"/>
                <w:shd w:val="clear" w:color="auto" w:fill="FFFFFF"/>
              </w:rPr>
            </w:pPr>
            <w:r>
              <w:rPr>
                <w:rFonts w:hint="eastAsia" w:ascii="Times New Roman" w:hAnsi="Times New Roman" w:cs="Arial"/>
                <w:szCs w:val="21"/>
                <w:shd w:val="clear" w:color="auto" w:fill="FFFFFF"/>
              </w:rPr>
              <w:t xml:space="preserve"> 4-2.</w:t>
            </w:r>
            <w:r>
              <w:rPr>
                <w:rFonts w:hint="eastAsia" w:ascii="Times New Roman" w:hAnsi="Times New Roman"/>
                <w:szCs w:val="21"/>
                <w:shd w:val="clear" w:color="auto" w:fill="FFFFFF"/>
              </w:rPr>
              <w:t>《运动员技术等级管理办法》（2014年，</w:t>
            </w:r>
            <w:r>
              <w:rPr>
                <w:rFonts w:ascii="Times New Roman" w:hAnsi="Times New Roman"/>
                <w:szCs w:val="21"/>
                <w:shd w:val="clear" w:color="auto" w:fill="FFFFFF"/>
              </w:rPr>
              <w:t>国家体育总局令第18号</w:t>
            </w:r>
            <w:r>
              <w:rPr>
                <w:rFonts w:hint="eastAsia" w:ascii="Times New Roman" w:hAnsi="Times New Roman"/>
                <w:szCs w:val="21"/>
                <w:shd w:val="clear" w:color="auto" w:fill="FFFFFF"/>
              </w:rPr>
              <w:t>）</w:t>
            </w:r>
            <w:r>
              <w:rPr>
                <w:rFonts w:ascii="Times New Roman" w:hAnsi="Times New Roman" w:cs="Arial"/>
                <w:szCs w:val="21"/>
                <w:shd w:val="clear" w:color="auto" w:fill="FFFFFF"/>
              </w:rPr>
              <w:t>第二十五条</w:t>
            </w:r>
            <w:r>
              <w:rPr>
                <w:rFonts w:hint="eastAsia" w:ascii="Times New Roman" w:hAnsi="Times New Roman" w:cs="Arial"/>
                <w:szCs w:val="21"/>
                <w:shd w:val="clear" w:color="auto" w:fill="FFFFFF"/>
              </w:rPr>
              <w:t>：“</w:t>
            </w:r>
            <w:r>
              <w:rPr>
                <w:rFonts w:ascii="Times New Roman" w:hAnsi="Times New Roman" w:cs="Arial"/>
                <w:szCs w:val="21"/>
                <w:shd w:val="clear" w:color="auto" w:fill="FFFFFF"/>
              </w:rPr>
              <w:t>审批单位向授予等级称号的运动员颁发相应的等级证书。</w:t>
            </w:r>
            <w:r>
              <w:rPr>
                <w:rFonts w:hint="eastAsia" w:ascii="Times New Roman" w:hAnsi="Times New Roman" w:cs="Arial"/>
                <w:szCs w:val="21"/>
                <w:shd w:val="clear" w:color="auto" w:fill="FFFFFF"/>
              </w:rPr>
              <w:t>”</w:t>
            </w:r>
          </w:p>
          <w:p>
            <w:pPr>
              <w:spacing w:line="360" w:lineRule="exact"/>
              <w:ind w:firstLine="525" w:firstLineChars="25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szCs w:val="21"/>
              </w:rPr>
              <w:t>中华人民共和国体育法</w:t>
            </w:r>
            <w:r>
              <w:rPr>
                <w:rFonts w:ascii="Times New Roman" w:hAnsi="Times New Roman"/>
                <w:szCs w:val="21"/>
              </w:rPr>
              <w:t>》、《行政机关公务员处分条例》</w:t>
            </w:r>
            <w:r>
              <w:rPr>
                <w:rFonts w:hint="eastAsia" w:ascii="Times New Roman" w:hAnsi="Times New Roman"/>
                <w:szCs w:val="21"/>
              </w:rPr>
              <w:t>、</w:t>
            </w:r>
            <w:r>
              <w:rPr>
                <w:rFonts w:hint="eastAsia" w:ascii="Times New Roman" w:hAnsi="Times New Roman"/>
                <w:szCs w:val="21"/>
                <w:shd w:val="clear" w:color="auto" w:fill="FFFFFF"/>
              </w:rPr>
              <w:t>《运动员技术等级管理办法》、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表2-184</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widowControl/>
              <w:shd w:val="clear" w:color="auto" w:fill="FAFAFA"/>
              <w:spacing w:line="360" w:lineRule="exact"/>
              <w:ind w:firstLine="2310" w:firstLineChars="1100"/>
              <w:jc w:val="left"/>
              <w:rPr>
                <w:rFonts w:ascii="Times New Roman" w:hAnsi="Times New Roman" w:cs="宋体"/>
                <w:kern w:val="0"/>
                <w:szCs w:val="21"/>
              </w:rPr>
            </w:pPr>
            <w:r>
              <w:rPr>
                <w:rFonts w:hint="eastAsia" w:ascii="Times New Roman" w:hAnsi="Times New Roman"/>
                <w:szCs w:val="21"/>
              </w:rPr>
              <w:t>设立演出场所经营单位备案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cs="宋体"/>
                <w:kern w:val="0"/>
                <w:szCs w:val="21"/>
              </w:rPr>
            </w:pPr>
            <w:r>
              <w:rPr>
                <w:rFonts w:hint="eastAsia" w:ascii="Times New Roman" w:hAnsi="Times New Roman" w:cs="宋体"/>
                <w:kern w:val="0"/>
                <w:szCs w:val="21"/>
              </w:rPr>
              <w:t>1.《营业性演出管理条例》（2005年，国务院令第439号，根据2008年7月22日《国务院关于修改〈营业性演出管理条例〉的决定》第一次修订，根据2013年7月18日《国务院关于废止和修改部分行政法规的决定》第二次修订，根据2016年2月6日国务院令第666号《国务院关于修改部分行政法规的决定》第三次修订）第七条：“设立演出场所经营单位，应当依法到工商行政管理部门办理注册登记，领取营业执照，并依照有关消防、卫生管理等法律、行政法规的规定办理审批手续。演出场所经营单位应当自领取营业执照之日起20日内向所在地县级人民政府文化主管部门备案。”</w:t>
            </w:r>
          </w:p>
          <w:p>
            <w:pPr>
              <w:spacing w:line="360" w:lineRule="exact"/>
              <w:ind w:firstLine="420" w:firstLineChars="200"/>
              <w:rPr>
                <w:rFonts w:ascii="Times New Roman" w:hAnsi="Times New Roman" w:cs="宋体"/>
                <w:kern w:val="0"/>
                <w:szCs w:val="21"/>
              </w:rPr>
            </w:pPr>
            <w:r>
              <w:rPr>
                <w:rFonts w:hint="eastAsia" w:ascii="Times New Roman" w:hAnsi="Times New Roman"/>
                <w:szCs w:val="21"/>
              </w:rPr>
              <w:t>2.《营业性演出管理条例实施细则》（2009年，文化部令第47号，2017年12月文化部令第57号修订）</w:t>
            </w:r>
            <w:r>
              <w:rPr>
                <w:rFonts w:ascii="Times New Roman" w:hAnsi="Times New Roman" w:cs="宋体"/>
                <w:kern w:val="0"/>
                <w:szCs w:val="21"/>
              </w:rPr>
              <w:t>第九条</w:t>
            </w:r>
            <w:r>
              <w:rPr>
                <w:rFonts w:hint="eastAsia" w:ascii="Times New Roman" w:hAnsi="Times New Roman" w:cs="宋体"/>
                <w:kern w:val="0"/>
                <w:szCs w:val="21"/>
              </w:rPr>
              <w:t>：“</w:t>
            </w:r>
            <w:r>
              <w:rPr>
                <w:rFonts w:ascii="Times New Roman" w:hAnsi="Times New Roman" w:cs="宋体"/>
                <w:kern w:val="0"/>
                <w:szCs w:val="21"/>
              </w:rPr>
              <w:t>依法取得营业执照或者事业单位法人证书、民办非企业单位登记证书的演出场所经营单位，应当自领取证照之日起20日内，持上述证照和有关消防、卫生批准文件，向所在地县级文化主管部门备案，县级文化主管部门应当出具备案证明。备案证明式样由文化部设计，省级文化主管部门印制。个体演员可以持个人身份证明和本实施细则第七条第二款规定的艺术表演能力证明,个体演出经纪人可以持个人身份证明和演出经纪人员资格证明，向户籍所在地或者常驻地县级文化主管部门申请备案，文化主管部门应当出具备案证明。备案证明式样由文化部设计，省级文化主管部门印制。</w:t>
            </w:r>
            <w:r>
              <w:rPr>
                <w:rFonts w:hint="eastAsia" w:ascii="Times New Roman" w:hAnsi="Times New Roman"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2.审查责任：对申请人提交的申请材料进行审查，提出审查意见。</w:t>
            </w:r>
          </w:p>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3.决定责任：在规定期限内作出许可或不予许可的书面决定；不予许可应告知理由，并告知相对人申请复议或提起行政诉讼的权利。</w:t>
            </w:r>
          </w:p>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cs="Arial"/>
                <w:kern w:val="0"/>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cs="宋体"/>
                <w:kern w:val="0"/>
                <w:szCs w:val="21"/>
              </w:rPr>
            </w:pPr>
            <w:r>
              <w:rPr>
                <w:rFonts w:hint="eastAsia" w:ascii="Times New Roman" w:hAnsi="Times New Roman" w:cs="宋体"/>
                <w:kern w:val="0"/>
                <w:szCs w:val="21"/>
              </w:rPr>
              <w:t>1-1.《营业性演出管理条例》（2005年，国务院令第439号，根据2008年7月22日《国务院关于修改〈营业性演出管理条例〉的决定》第一次修订，根据2013年7月18日《国务院关于废止和修改部分行政法规的决定》第二次修订，</w:t>
            </w:r>
            <w:r>
              <w:rPr>
                <w:rFonts w:hint="eastAsia" w:ascii="Times New Roman" w:hAnsi="Times New Roman"/>
                <w:szCs w:val="21"/>
              </w:rPr>
              <w:t>根据2016年2月6日国务院令第666号</w:t>
            </w:r>
            <w:r>
              <w:rPr>
                <w:rFonts w:hint="eastAsia" w:ascii="Times New Roman" w:hAnsi="Times New Roman" w:cs="宋体"/>
                <w:kern w:val="0"/>
                <w:szCs w:val="21"/>
              </w:rPr>
              <w:t>《国务院关于修改部分行政法规的决定》第三次修订）第七条：“设立演出场所经营单位，应当依法到工商行政管理部门办理注册登记，领取营业执照，并依照有关消防、卫生管理等法律、行政法规的规定办理审批手续。演出场所经营单位应当自领取营业执照之日起20日内向所在地县级人民政府文化主管部门备案。”</w:t>
            </w:r>
          </w:p>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1-2.《营业性演出管理条例实施细则》（2009年，文化部令第47号，2017年12月文化部令第57号修订）第九条：“依法取得营业执照或者事业单位法人证书、民办非企业单位登记证书的演出场所经营单位，应当自领取证照之日起20日内，持上述证照和有关消防、卫生批准文件，向所在地县级文化主管部门备案，县级文化主管部门应当出具备案证明。备案证明式样由文化部设计，省级文化主管部门印制。个体演员可以持个人身份证明和本实施细则第七条第二款规定的艺术表演能力证明,个体演出经纪人可以持个人身份证明和演出经纪人员资格证明，向户籍所在地或者常驻地县级文化主管部门申请备案，文化主管部门应当出具备案证明。备案证明式样由文化部设计，省级文化主管部门印制。”</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cs="Arial"/>
                <w:kern w:val="0"/>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w:t>
            </w:r>
            <w:r>
              <w:rPr>
                <w:rFonts w:hint="eastAsia" w:ascii="Times New Roman" w:hAnsi="Times New Roman"/>
                <w:szCs w:val="21"/>
              </w:rPr>
              <w:t>、</w:t>
            </w:r>
            <w:r>
              <w:rPr>
                <w:rFonts w:ascii="Times New Roman" w:hAnsi="Times New Roman"/>
                <w:szCs w:val="21"/>
              </w:rPr>
              <w:t>《行政机关公务员处分条例》、</w:t>
            </w:r>
            <w:r>
              <w:rPr>
                <w:rFonts w:hint="eastAsia" w:ascii="Times New Roman" w:hAnsi="Times New Roman" w:cs="宋体"/>
                <w:kern w:val="0"/>
                <w:szCs w:val="21"/>
              </w:rPr>
              <w:t>《营业性演出管理条例》、</w:t>
            </w:r>
            <w:r>
              <w:rPr>
                <w:rFonts w:hint="eastAsia" w:ascii="Times New Roman" w:hAnsi="Times New Roman" w:cs="Arial"/>
                <w:kern w:val="0"/>
                <w:szCs w:val="21"/>
              </w:rPr>
              <w:t>《营业性演出管理条例实施细则》、</w:t>
            </w:r>
            <w:r>
              <w:rPr>
                <w:rFonts w:ascii="Times New Roman" w:hAnsi="Times New Roman"/>
                <w:szCs w:val="21"/>
              </w:rPr>
              <w:t>《四川省行政审批违法违纪行为责任追究办法》</w:t>
            </w:r>
            <w:r>
              <w:rPr>
                <w:rFonts w:hint="eastAsia" w:ascii="Times New Roman" w:hAnsi="Times New Roman" w:cs="Arial"/>
                <w:kern w:val="0"/>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表2-185</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个体演员和个体演出经纪人备案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cs="宋体"/>
                <w:kern w:val="0"/>
                <w:szCs w:val="21"/>
              </w:rPr>
              <w:t>1.《营业性演出管理条例》（2005年，国务院令第439号，根据2008年7月22日《国务院关于修改〈营业性演出管理条例〉的决定》第一次修订，根据2013年7月18日《国务院关于废止和修改部分行政法规的决定》第二次修订，</w:t>
            </w:r>
            <w:r>
              <w:rPr>
                <w:rFonts w:hint="eastAsia" w:ascii="Times New Roman" w:hAnsi="Times New Roman"/>
                <w:szCs w:val="21"/>
              </w:rPr>
              <w:t>根据2016年2月6日国务院令第666号</w:t>
            </w:r>
            <w:r>
              <w:rPr>
                <w:rFonts w:hint="eastAsia" w:ascii="Times New Roman" w:hAnsi="Times New Roman" w:cs="宋体"/>
                <w:kern w:val="0"/>
                <w:szCs w:val="21"/>
              </w:rPr>
              <w:t>《国务院关于修改部分行政法规的决定》第三次修订）</w:t>
            </w:r>
            <w:r>
              <w:rPr>
                <w:rFonts w:ascii="Times New Roman" w:hAnsi="Times New Roman" w:cs="Arial"/>
                <w:bCs/>
                <w:szCs w:val="21"/>
                <w:shd w:val="clear" w:color="auto" w:fill="FFFFFF"/>
              </w:rPr>
              <w:t>第</w:t>
            </w:r>
            <w:r>
              <w:rPr>
                <w:rFonts w:hint="eastAsia" w:ascii="Times New Roman" w:hAnsi="Times New Roman" w:cs="Arial"/>
                <w:bCs/>
                <w:szCs w:val="21"/>
                <w:shd w:val="clear" w:color="auto" w:fill="FFFFFF"/>
              </w:rPr>
              <w:t>九</w:t>
            </w:r>
            <w:r>
              <w:rPr>
                <w:rFonts w:ascii="Times New Roman" w:hAnsi="Times New Roman" w:cs="Arial"/>
                <w:bCs/>
                <w:szCs w:val="21"/>
                <w:shd w:val="clear" w:color="auto" w:fill="FFFFFF"/>
              </w:rPr>
              <w:t>条</w:t>
            </w:r>
            <w:r>
              <w:rPr>
                <w:rFonts w:hint="eastAsia" w:ascii="Times New Roman" w:hAnsi="Times New Roman" w:cs="Arial"/>
                <w:szCs w:val="21"/>
                <w:shd w:val="clear" w:color="auto" w:fill="FFFFFF"/>
              </w:rPr>
              <w:t>：“以从事营业性演出为职业的个体演员（以下简称个体演员）和以从事营业性演出的居间、代理活动为职业的个体演出经纪人（以下简称个体演出经纪人），应当依法到工商行政管理部门办理注册登记，领取营业执照。个体演员、个体演出经纪人应当自领取营业执照之日起20日内向所在地县级人民政府文化主管部门备案。”</w:t>
            </w:r>
          </w:p>
          <w:p>
            <w:pPr>
              <w:spacing w:line="360" w:lineRule="exact"/>
              <w:ind w:firstLine="420" w:firstLineChars="200"/>
              <w:rPr>
                <w:rFonts w:ascii="Times New Roman" w:hAnsi="Times New Roman" w:cs="宋体"/>
                <w:kern w:val="0"/>
                <w:szCs w:val="21"/>
              </w:rPr>
            </w:pPr>
            <w:r>
              <w:rPr>
                <w:rFonts w:hint="eastAsia" w:ascii="Times New Roman" w:hAnsi="Times New Roman"/>
                <w:szCs w:val="21"/>
              </w:rPr>
              <w:t>2.《营业性演出管理条例实施细则》（2009年，文化部令第47号，2017年12月文化部令第57号修订）</w:t>
            </w:r>
            <w:r>
              <w:rPr>
                <w:rFonts w:ascii="Times New Roman" w:hAnsi="Times New Roman" w:cs="宋体"/>
                <w:kern w:val="0"/>
                <w:szCs w:val="21"/>
              </w:rPr>
              <w:t>第九条</w:t>
            </w:r>
            <w:r>
              <w:rPr>
                <w:rFonts w:hint="eastAsia" w:ascii="Times New Roman" w:hAnsi="Times New Roman" w:cs="宋体"/>
                <w:kern w:val="0"/>
                <w:szCs w:val="21"/>
              </w:rPr>
              <w:t>：“</w:t>
            </w:r>
            <w:r>
              <w:rPr>
                <w:rFonts w:ascii="Times New Roman" w:hAnsi="Times New Roman" w:cs="宋体"/>
                <w:kern w:val="0"/>
                <w:szCs w:val="21"/>
              </w:rPr>
              <w:t>依法取得营业执照或者事业单位法人证书、民办非企业单位登记证书的演出场所经营单位，应当自领取证照之日起20日内，持上述证照和有关消防、卫生批准文件，向所在地县级文化主管部门备案，县级文化主管部门应当出具备案证明。备案证明式样由文化部设计，省级文化主管部门印制。个体演员可以持个人身份证明和本实施细则第七条第二款规定的艺术表演能力证明,个体演出经纪人可以持个人身份证明和演出经纪人员资格证明，向户籍所在地或者常驻地县级文化主管部门申请备案，文化主管部门应当出具备案证明。备案证明式样由文化部设计，省级文化主管部门印制。</w:t>
            </w:r>
            <w:r>
              <w:rPr>
                <w:rFonts w:hint="eastAsia" w:ascii="Times New Roman" w:hAnsi="Times New Roman"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cs="Arial"/>
                <w:kern w:val="0"/>
                <w:szCs w:val="21"/>
              </w:rPr>
              <w:t>1-</w:t>
            </w:r>
            <w:r>
              <w:rPr>
                <w:rFonts w:hint="eastAsia" w:ascii="Times New Roman" w:hAnsi="Times New Roman" w:cs="宋体"/>
                <w:kern w:val="0"/>
                <w:szCs w:val="21"/>
              </w:rPr>
              <w:t>1.《营业性演出管理条例》（2005年，国务院令第439号，根据2008年7月22日《国务院关于修改〈营业性演出管理条例〉的决定》第一次修订，根据2013年7月18日《国务院关于废止和修改部分行政法规的决定》第二次修订，</w:t>
            </w:r>
            <w:r>
              <w:rPr>
                <w:rFonts w:hint="eastAsia" w:ascii="Times New Roman" w:hAnsi="Times New Roman"/>
                <w:szCs w:val="21"/>
              </w:rPr>
              <w:t>根据2016年2月6日国务院令第666号</w:t>
            </w:r>
            <w:r>
              <w:rPr>
                <w:rFonts w:hint="eastAsia" w:ascii="Times New Roman" w:hAnsi="Times New Roman" w:cs="宋体"/>
                <w:kern w:val="0"/>
                <w:szCs w:val="21"/>
              </w:rPr>
              <w:t>《国务院关于修改部分行政法规的决定》第三次修订）</w:t>
            </w:r>
            <w:r>
              <w:rPr>
                <w:rFonts w:ascii="Times New Roman" w:hAnsi="Times New Roman" w:cs="Arial"/>
                <w:bCs/>
                <w:szCs w:val="21"/>
                <w:shd w:val="clear" w:color="auto" w:fill="FFFFFF"/>
              </w:rPr>
              <w:t>第</w:t>
            </w:r>
            <w:r>
              <w:rPr>
                <w:rFonts w:hint="eastAsia" w:ascii="Times New Roman" w:hAnsi="Times New Roman" w:cs="Arial"/>
                <w:bCs/>
                <w:szCs w:val="21"/>
                <w:shd w:val="clear" w:color="auto" w:fill="FFFFFF"/>
              </w:rPr>
              <w:t>九</w:t>
            </w:r>
            <w:r>
              <w:rPr>
                <w:rFonts w:ascii="Times New Roman" w:hAnsi="Times New Roman" w:cs="Arial"/>
                <w:bCs/>
                <w:szCs w:val="21"/>
                <w:shd w:val="clear" w:color="auto" w:fill="FFFFFF"/>
              </w:rPr>
              <w:t>条</w:t>
            </w:r>
            <w:r>
              <w:rPr>
                <w:rFonts w:hint="eastAsia" w:ascii="Times New Roman" w:hAnsi="Times New Roman" w:cs="Arial"/>
                <w:szCs w:val="21"/>
                <w:shd w:val="clear" w:color="auto" w:fill="FFFFFF"/>
              </w:rPr>
              <w:t>：“以从事营业性演出为职业的个体演员（以下简称个体演员）和以从事营业性演出的居间、代理活动为职业的个体演出经纪人（以下简称个体演出经纪人），应当依法到工商行政管理部门办理注册登记，领取营业执照。个体演员、个体演出经纪人应当自领取营业执照之日起20日内向所在地县级人民政府文化主管部门备案。”</w:t>
            </w:r>
          </w:p>
          <w:p>
            <w:pPr>
              <w:spacing w:line="360" w:lineRule="exact"/>
              <w:ind w:firstLine="420" w:firstLineChars="200"/>
              <w:rPr>
                <w:rFonts w:ascii="Times New Roman" w:hAnsi="Times New Roman"/>
              </w:rPr>
            </w:pPr>
            <w:r>
              <w:rPr>
                <w:rFonts w:hint="eastAsia" w:ascii="Times New Roman" w:hAnsi="Times New Roman" w:cs="Arial"/>
                <w:kern w:val="0"/>
                <w:szCs w:val="21"/>
              </w:rPr>
              <w:t>1-2.《营业性演出管理条例实施细则》（</w:t>
            </w:r>
            <w:r>
              <w:rPr>
                <w:rFonts w:hint="eastAsia" w:ascii="Times New Roman" w:hAnsi="Times New Roman"/>
                <w:szCs w:val="21"/>
              </w:rPr>
              <w:t>2009年，文化部令第47号，2017年12月文化部令第57号修订</w:t>
            </w:r>
            <w:r>
              <w:rPr>
                <w:rFonts w:hint="eastAsia" w:ascii="Times New Roman" w:hAnsi="Times New Roman" w:cs="Arial"/>
                <w:kern w:val="0"/>
                <w:szCs w:val="21"/>
              </w:rPr>
              <w:t>）第九条：“</w:t>
            </w:r>
            <w:r>
              <w:rPr>
                <w:rFonts w:ascii="Times New Roman" w:hAnsi="Times New Roman" w:cs="Arial"/>
                <w:szCs w:val="21"/>
                <w:shd w:val="clear" w:color="auto" w:fill="FFFFFF"/>
              </w:rPr>
              <w:t>依法取得营业执照或者事业单位法人证书、民办非企业单位登记证书的演出场所经营单位，应当自领取证照之日起20日内，持上述证照和有关消防、卫生批准文件，向所在地县级文化主管部门备案，县级文化主管部门应当出具备案证明。备案证明式样由文化部设计，省级文化主管部门印制。个体演员可以持个人身份证明和本实施细则第七条第二款规定的艺术表演能力证明,个体演出经纪人可以持个人身份证明和演出经纪人员资格证明，向户籍所在地或者常驻地县级文化主管部门申请备案，文化主管部门应当出具备案证明。备案证明式样由文化部设计，省级文化主管部门印制。</w:t>
            </w:r>
            <w:r>
              <w:rPr>
                <w:rFonts w:hint="eastAsia" w:ascii="Times New Roman" w:hAnsi="Times New Roman" w:cs="Arial"/>
                <w:kern w:val="0"/>
                <w:szCs w:val="21"/>
              </w:rPr>
              <w:t>”</w:t>
            </w:r>
          </w:p>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cs="Arial"/>
                <w:kern w:val="0"/>
                <w:szCs w:val="21"/>
              </w:rPr>
            </w:pPr>
            <w:r>
              <w:rPr>
                <w:rFonts w:hint="eastAsia" w:ascii="Times New Roman" w:hAnsi="Times New Roman" w:cs="Arial"/>
                <w:kern w:val="0"/>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对不履行或不正确履行行政职责的行政机关及其工作人员，依据《中华人民共和国行政监察法》、《行政机关公务员处分条例》、</w:t>
            </w:r>
            <w:r>
              <w:rPr>
                <w:rFonts w:hint="eastAsia" w:ascii="Times New Roman" w:hAnsi="Times New Roman" w:cs="宋体"/>
                <w:kern w:val="0"/>
                <w:szCs w:val="21"/>
              </w:rPr>
              <w:t>《营业性演出管理条例》、</w:t>
            </w:r>
            <w:r>
              <w:rPr>
                <w:rFonts w:hint="eastAsia" w:ascii="Times New Roman" w:hAnsi="Times New Roman" w:cs="Arial"/>
                <w:kern w:val="0"/>
                <w:szCs w:val="21"/>
              </w:rPr>
              <w:t>《营业性演出管理条例实施细则》、《四川省营业性演出管理办法》、</w:t>
            </w:r>
            <w:r>
              <w:rPr>
                <w:rFonts w:ascii="Times New Roman" w:hAnsi="Times New Roman"/>
                <w:szCs w:val="21"/>
              </w:rPr>
              <w:t>《四川省行政审批违法违纪行为责任追究办法》</w:t>
            </w:r>
            <w:r>
              <w:rPr>
                <w:rFonts w:hint="eastAsia" w:ascii="Times New Roman" w:hAnsi="Times New Roman" w:cs="Arial"/>
                <w:kern w:val="0"/>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表2-186</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从事艺术品经营活动的经营单位备案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1.《艺术品经营管理办法》(2015年，文化部令第56号) 第五条：“设立从事艺术品经营活动的经营单位，应当到其住所地县级以上人民政府工商行政管理部门申领营业执照，并在领取营业执照之日起15日内，到其住所地县级以上人民政府文化行政部门备案。其他经营单位增设艺术品经营业务的，应当按前款办理备案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cs="Arial"/>
                <w:kern w:val="0"/>
                <w:szCs w:val="21"/>
              </w:rPr>
              <w:t>1.</w:t>
            </w:r>
            <w:r>
              <w:rPr>
                <w:rFonts w:hint="eastAsia" w:ascii="Times New Roman" w:hAnsi="Times New Roman"/>
                <w:szCs w:val="21"/>
              </w:rPr>
              <w:t>《艺术品经营管理办法》(2015年，文化部令第56号) 第五条：“设立从事艺术品经营活动的经营单位，应当到其住所地县级以上人民政府工商行政管理部门申领营业执照，并在领取营业执照之日起15日内，到其住所地县级以上人民政府文化行政部门备案。其他经营单位增设艺术品经营业务的，应当按前款办理备案手续。”</w:t>
            </w:r>
          </w:p>
          <w:p>
            <w:pPr>
              <w:spacing w:line="360" w:lineRule="exact"/>
              <w:ind w:firstLine="420" w:firstLineChars="200"/>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对不履行或不正确履行行政职责的行政机关及其工作人员，依据《中华人民共和国行政监察法》、《行政机关公务员处分条例》、</w:t>
            </w:r>
            <w:r>
              <w:rPr>
                <w:rFonts w:hint="eastAsia" w:ascii="Times New Roman" w:hAnsi="Times New Roman"/>
                <w:szCs w:val="21"/>
              </w:rPr>
              <w:t>《艺术品经营管理办法》、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表2-187</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社会旅馆备案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成都市社会旅馆管理办法》（2006年，成都市人民政府令第132号）第四条（管理主体）第一款：“市和区（市）县旅游行政管理部门负责社会旅馆的行业管理；受卫生行政管理部门的委托对社会旅馆卫生达标情况进行检查。”第七条（备案登记）：“社会旅馆应在开业后30日内持以下资料到社会旅馆所在地的区（市）县旅游行政管理部门备案：（一）《工商营业执照》正本复印件一份；（二）《卫生许可证》复印件一份；（三）《特种行业许可证》复印件一份；（四）消防管理机构出具的《消防安全检查意见书》原件及复印件各一份。本办法施行前已开办的社会旅馆，应在本办法施行之日起60个工作日内持前款所列资料到社会旅馆所在地的区（市）县旅游行政管理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jc w:val="left"/>
              <w:rPr>
                <w:rFonts w:ascii="Times New Roman" w:hAnsi="Times New Roman"/>
                <w:szCs w:val="21"/>
              </w:rPr>
            </w:pPr>
            <w:r>
              <w:rPr>
                <w:rFonts w:hint="eastAsia" w:ascii="Times New Roman" w:hAnsi="Times New Roman" w:cs="Arial"/>
                <w:kern w:val="0"/>
                <w:szCs w:val="21"/>
              </w:rPr>
              <w:t>1.</w:t>
            </w:r>
            <w:r>
              <w:rPr>
                <w:rFonts w:hint="eastAsia" w:ascii="Times New Roman" w:hAnsi="Times New Roman"/>
                <w:szCs w:val="21"/>
              </w:rPr>
              <w:t>《成都市社会旅馆管理办法》（2006年，成都市人民政府令第132号）第七条（备案登记）：“社会旅馆应在开业后30日内持以下资料到社会旅馆所在地的区（市）县旅游行政管理部门备案：（一）《工商营业执照》正本复印件一份；（二）《卫生许可证》复印件一份；（三）《特种行业许可证》复印件一份；（四）消防管理机构出具的《消防安全检查意见书》原件及复印件各一份。本办法施行前已开办的社会旅馆，应在本办法施行之日起60个工作日内持前款所列资料到社会旅馆所在地的区（市）县旅游行政管理部门备案。”</w:t>
            </w:r>
          </w:p>
          <w:p>
            <w:pPr>
              <w:spacing w:line="360" w:lineRule="exact"/>
              <w:ind w:firstLine="420" w:firstLineChars="200"/>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cs="Arial"/>
                <w:szCs w:val="21"/>
                <w:shd w:val="clear" w:color="auto" w:fill="FFFFFF"/>
              </w:rPr>
            </w:pPr>
            <w:r>
              <w:rPr>
                <w:rFonts w:hint="eastAsia" w:ascii="Times New Roman" w:hAnsi="Times New Roman" w:cs="Arial"/>
                <w:szCs w:val="21"/>
                <w:shd w:val="clear" w:color="auto" w:fill="FFFFFF"/>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jc w:val="left"/>
              <w:rPr>
                <w:rFonts w:ascii="Times New Roman" w:hAnsi="Times New Roman"/>
                <w:szCs w:val="21"/>
                <w:shd w:val="clear" w:color="auto" w:fill="FFFFFF"/>
              </w:rPr>
            </w:pPr>
            <w:r>
              <w:rPr>
                <w:rFonts w:hint="eastAsia" w:ascii="Times New Roman" w:hAnsi="Times New Roman" w:cs="Arial"/>
                <w:szCs w:val="21"/>
                <w:shd w:val="clear" w:color="auto" w:fill="FFFFFF"/>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对不履行或不正确履行行政职责的行政机关及其工作人员，依据《中华人民共和国行政监察法》、《行政机关公务员处分条例》、《四川省行政审批违法违纪行为责任追究办法》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w:t>
            </w:r>
            <w:r>
              <w:rPr>
                <w:rFonts w:hint="eastAsia" w:ascii="Times New Roman" w:hAnsi="Times New Roman"/>
                <w:szCs w:val="21"/>
              </w:rPr>
              <w:t>、《成都市社会旅馆管理办法》</w:t>
            </w:r>
            <w:r>
              <w:rPr>
                <w:rFonts w:ascii="Times New Roman" w:hAnsi="Times New Roman"/>
                <w:szCs w:val="21"/>
              </w:rPr>
              <w:t>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表2-188</w:t>
      </w:r>
    </w:p>
    <w:tbl>
      <w:tblPr>
        <w:tblStyle w:val="1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旅行社分社备案登记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w:t>
            </w:r>
            <w:r>
              <w:rPr>
                <w:rFonts w:ascii="Times New Roman" w:hAnsi="Times New Roman"/>
                <w:szCs w:val="21"/>
              </w:rPr>
              <w:t>《旅行社条例》</w:t>
            </w:r>
            <w:r>
              <w:rPr>
                <w:rFonts w:hint="eastAsia" w:ascii="Times New Roman" w:hAnsi="Times New Roman"/>
                <w:szCs w:val="21"/>
              </w:rPr>
              <w:t>（</w:t>
            </w:r>
            <w:r>
              <w:rPr>
                <w:rFonts w:ascii="Times New Roman" w:hAnsi="Times New Roman"/>
                <w:szCs w:val="21"/>
              </w:rPr>
              <w:t>2009年2月20日中华人民共和国国务院令第550号公布的条例。根据2016年2月6日中华人民共和国国务院令第666号《国务院关于修改部分行政法规的决定》</w:t>
            </w:r>
            <w:r>
              <w:rPr>
                <w:rFonts w:hint="eastAsia" w:ascii="Times New Roman" w:hAnsi="Times New Roman"/>
                <w:szCs w:val="21"/>
              </w:rPr>
              <w:t>第一次</w:t>
            </w:r>
            <w:r>
              <w:rPr>
                <w:rFonts w:ascii="Times New Roman" w:hAnsi="Times New Roman"/>
                <w:szCs w:val="21"/>
              </w:rPr>
              <w:t>修改</w:t>
            </w:r>
            <w:r>
              <w:rPr>
                <w:rFonts w:hint="eastAsia" w:ascii="Times New Roman" w:hAnsi="Times New Roman"/>
                <w:szCs w:val="21"/>
              </w:rPr>
              <w:t>，2017年3月1日《国务院关于修改和废止部分行政法规的决定》第二次修改）第十条：“</w:t>
            </w:r>
            <w:r>
              <w:rPr>
                <w:rFonts w:ascii="Times New Roman" w:hAnsi="Times New Roman"/>
                <w:szCs w:val="21"/>
              </w:rPr>
              <w:t> 旅行社设立分社的，应当向分社所在地的工商行政管理部门办理设立登记，并自设立登记之日起3个工作日内向分社所在地的旅游行政管理部门备案。旅行社分社的设立不受地域限制。分社的经营范围不得超出设立分社的旅行社的经营范围。</w:t>
            </w:r>
            <w:r>
              <w:rPr>
                <w:rFonts w:hint="eastAsia" w:ascii="Times New Roman" w:hAnsi="Times New Roman"/>
                <w:szCs w:val="21"/>
              </w:rPr>
              <w:t xml:space="preserve">” </w:t>
            </w:r>
          </w:p>
          <w:p>
            <w:pPr>
              <w:spacing w:line="360" w:lineRule="exact"/>
              <w:ind w:firstLine="420" w:firstLineChars="200"/>
              <w:rPr>
                <w:rFonts w:ascii="Times New Roman" w:hAnsi="Times New Roman"/>
                <w:szCs w:val="21"/>
              </w:rPr>
            </w:pPr>
            <w:r>
              <w:rPr>
                <w:rFonts w:hint="eastAsia" w:ascii="Times New Roman" w:hAnsi="Times New Roman"/>
                <w:szCs w:val="21"/>
              </w:rPr>
              <w:t>2.《旅行社条例实施细则》（2009年4月2日国家旅游局第4次局长办公会议审议通过，国家旅游局令第30号公布。根据2016年12月12日国家旅游局令第42号公布施行的《国家旅游局关于修改&lt;旅行社条例实施细则&gt;和废止&lt;出镜旅游领队人员管理办法&gt;的决定》修改。）第十九条：“设立社向分社所在地工商行政管理部门办理分社设立登记后，应当持下列文件向分社所在地与工商登记同级的旅游行政管理部门备案：（一）分社的《营业执照》；（二）分社经理的履历表和身份证明；（三）增存质量保证金的证明文件。没有同级的旅游行政管理部门的，向上一级旅游行政管理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《旅行社条例》</w:t>
            </w:r>
            <w:r>
              <w:rPr>
                <w:rFonts w:hint="eastAsia" w:ascii="Times New Roman" w:hAnsi="Times New Roman"/>
                <w:szCs w:val="21"/>
              </w:rPr>
              <w:t>（</w:t>
            </w:r>
            <w:r>
              <w:rPr>
                <w:rFonts w:ascii="Times New Roman" w:hAnsi="Times New Roman"/>
                <w:szCs w:val="21"/>
              </w:rPr>
              <w:t>2009年2月20日中华人民共和国国务院令第550号公布的条例。根据2016年2月6日中华人民共和国国务院令第666号《国务院关于修改部分行政法规的决定》</w:t>
            </w:r>
            <w:r>
              <w:rPr>
                <w:rFonts w:hint="eastAsia" w:ascii="Times New Roman" w:hAnsi="Times New Roman"/>
                <w:szCs w:val="21"/>
              </w:rPr>
              <w:t>第一次</w:t>
            </w:r>
            <w:r>
              <w:rPr>
                <w:rFonts w:ascii="Times New Roman" w:hAnsi="Times New Roman"/>
                <w:szCs w:val="21"/>
              </w:rPr>
              <w:t>修改</w:t>
            </w:r>
            <w:r>
              <w:rPr>
                <w:rFonts w:hint="eastAsia" w:ascii="Times New Roman" w:hAnsi="Times New Roman"/>
                <w:szCs w:val="21"/>
              </w:rPr>
              <w:t>，2017年3月1日《国务院关于修改和废止部分行政法规的决定》第二次修改）第十条：“</w:t>
            </w:r>
            <w:r>
              <w:rPr>
                <w:rFonts w:ascii="Times New Roman" w:hAnsi="Times New Roman"/>
                <w:szCs w:val="21"/>
              </w:rPr>
              <w:t> 旅行社设立分社的，应当向分社所在地的工商行政管理部门办理设立登记，并自设立登记之日起3个工作日内向分社所在地的旅游行政管理部门备案。旅行社分社的设立不受地域限制。分社的经营范围不得超出设立分社的旅行社的经营范围。</w:t>
            </w:r>
            <w:r>
              <w:rPr>
                <w:rFonts w:hint="eastAsia" w:ascii="Times New Roman" w:hAnsi="Times New Roman"/>
                <w:szCs w:val="21"/>
              </w:rPr>
              <w:t>”</w:t>
            </w:r>
          </w:p>
          <w:p>
            <w:pPr>
              <w:spacing w:line="360" w:lineRule="exact"/>
              <w:ind w:firstLine="420" w:firstLineChars="200"/>
              <w:jc w:val="left"/>
              <w:rPr>
                <w:rFonts w:ascii="Times New Roman" w:hAnsi="Times New Roman"/>
                <w:szCs w:val="21"/>
              </w:rPr>
            </w:pPr>
            <w:r>
              <w:rPr>
                <w:rFonts w:hint="eastAsia" w:ascii="Times New Roman" w:hAnsi="Times New Roman"/>
                <w:szCs w:val="21"/>
              </w:rPr>
              <w:t>1-3. 《旅行社条例实施细则》（2009年4月2日国家旅游局第4次局长办公会议审议通过，国家旅游局令第30号公布。根据2016年12月12日国家旅游局令第42号公布施行的《国家旅游局关于修改&lt;旅行社条例实施细则&gt;和废止&lt;出镜旅游领队人员管理办法&gt;的决定》修改。）第十九条：“设立社向分社所在地工商行政管理部门办理分社设立登记后，应当持下列文件向分社所在地与工商登记同级的旅游行政管理部门备案：（一）分社的《营业执照》；（二）分社经理的履历表和身份证明；（三）增存质量保证金的证明文件。没有同级的旅游行政管理部门的，向上一级旅游行政管理部门备案。”</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《旅行社条例》、《旅行社条例实施细则》、</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表2-189</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旅行社服务网点设立备案登记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《旅行社条例》</w:t>
            </w:r>
            <w:r>
              <w:rPr>
                <w:rFonts w:hint="eastAsia" w:ascii="Times New Roman" w:hAnsi="Times New Roman"/>
                <w:szCs w:val="21"/>
              </w:rPr>
              <w:t>（</w:t>
            </w:r>
            <w:r>
              <w:rPr>
                <w:rFonts w:ascii="Times New Roman" w:hAnsi="Times New Roman"/>
                <w:szCs w:val="21"/>
              </w:rPr>
              <w:t>2009年2月20日中华人民共和国国务院令第550号公布的条例。根据2016年2月6日中华人民共和国国务院令第666号《国务院关于修改部分行政法规的决定》</w:t>
            </w:r>
            <w:r>
              <w:rPr>
                <w:rFonts w:hint="eastAsia" w:ascii="Times New Roman" w:hAnsi="Times New Roman"/>
                <w:szCs w:val="21"/>
              </w:rPr>
              <w:t>第一次</w:t>
            </w:r>
            <w:r>
              <w:rPr>
                <w:rFonts w:ascii="Times New Roman" w:hAnsi="Times New Roman"/>
                <w:szCs w:val="21"/>
              </w:rPr>
              <w:t>修改</w:t>
            </w:r>
            <w:r>
              <w:rPr>
                <w:rFonts w:hint="eastAsia" w:ascii="Times New Roman" w:hAnsi="Times New Roman"/>
                <w:szCs w:val="21"/>
              </w:rPr>
              <w:t>，2017年3月1日《国务院关于修改和废止部分行政法规的决定》第二次修改）第十一条：“</w:t>
            </w:r>
            <w:r>
              <w:rPr>
                <w:rFonts w:ascii="Times New Roman" w:hAnsi="Times New Roman"/>
                <w:szCs w:val="21"/>
              </w:rPr>
              <w:t> 旅行社设立专门招徕旅游者、提供旅游咨询的服务网点(以下简称旅行社服务网点)应当依法向工商行政管理部门办理设立登记手续，并向所在地的旅游行政管理部门备案。旅行社服务网点应当接受旅行社的统一管理，不得从事招徕、咨询以外的活动。</w:t>
            </w:r>
            <w:r>
              <w:rPr>
                <w:rFonts w:hint="eastAsia" w:ascii="Times New Roman" w:hAnsi="Times New Roman"/>
                <w:szCs w:val="21"/>
              </w:rPr>
              <w:t xml:space="preserve">” </w:t>
            </w:r>
          </w:p>
          <w:p>
            <w:pPr>
              <w:spacing w:line="360" w:lineRule="exact"/>
              <w:ind w:firstLine="420" w:firstLineChars="200"/>
              <w:rPr>
                <w:rFonts w:ascii="Times New Roman" w:hAnsi="Times New Roman"/>
                <w:szCs w:val="21"/>
              </w:rPr>
            </w:pPr>
            <w:r>
              <w:rPr>
                <w:rFonts w:hint="eastAsia" w:ascii="Times New Roman" w:hAnsi="Times New Roman"/>
                <w:szCs w:val="21"/>
              </w:rPr>
              <w:t>2.《旅行社条例实施细则》（2009年4月2日国家旅游局第4次局长办公会议审议通过，国家旅游局令第30号公布。根据2016年12月12日国家旅游局令第42号公布施行的《国家旅游局关于修改&lt;旅行社条例实施细则&gt;和废止&lt;出镜旅游领队人员管理办法&gt;的决定》修改。）第二十三条：“设立社向服务网点所在地工商行政管理部门办理服务网点设立登记后，应当在3个工作日内，持下列文件向服务网点所在地与工商登记同级的旅游行政管理部门备案：（一）服务网点的《营业执照》；（二）服务网点经理的履历表和身份证明。没有同级的旅游行政管理部门的，向上一级旅游行政管理部门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4.送达责任：在规定期限内向申请人送达行政许可证件；建立信息档案；公开有关信息。</w:t>
            </w:r>
          </w:p>
          <w:p>
            <w:pPr>
              <w:spacing w:line="360" w:lineRule="exact"/>
              <w:ind w:firstLine="420" w:firstLineChars="200"/>
              <w:rPr>
                <w:rFonts w:ascii="Times New Roman" w:hAnsi="Times New Roman"/>
                <w:b/>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w:t>
            </w:r>
            <w:r>
              <w:rPr>
                <w:rFonts w:ascii="Times New Roman" w:hAnsi="Times New Roman"/>
                <w:szCs w:val="21"/>
              </w:rPr>
              <w:t xml:space="preserve"> 《旅行社条例》</w:t>
            </w:r>
            <w:r>
              <w:rPr>
                <w:rFonts w:hint="eastAsia" w:ascii="Times New Roman" w:hAnsi="Times New Roman"/>
                <w:szCs w:val="21"/>
              </w:rPr>
              <w:t>（</w:t>
            </w:r>
            <w:r>
              <w:rPr>
                <w:rFonts w:ascii="Times New Roman" w:hAnsi="Times New Roman"/>
                <w:szCs w:val="21"/>
              </w:rPr>
              <w:t>2009年2月20日中华人民共和国国务院令第550号公布的条例。根据2016年2月6日中华人民共和国国务院令第666号《国务院关于修改部分行政法规的决定》</w:t>
            </w:r>
            <w:r>
              <w:rPr>
                <w:rFonts w:hint="eastAsia" w:ascii="Times New Roman" w:hAnsi="Times New Roman"/>
                <w:szCs w:val="21"/>
              </w:rPr>
              <w:t>第一次</w:t>
            </w:r>
            <w:r>
              <w:rPr>
                <w:rFonts w:ascii="Times New Roman" w:hAnsi="Times New Roman"/>
                <w:szCs w:val="21"/>
              </w:rPr>
              <w:t>修改</w:t>
            </w:r>
            <w:r>
              <w:rPr>
                <w:rFonts w:hint="eastAsia" w:ascii="Times New Roman" w:hAnsi="Times New Roman"/>
                <w:szCs w:val="21"/>
              </w:rPr>
              <w:t>，2017年3月1日《国务院关于修改和废止部分行政法规的决定》第二次修改）第十一条：“</w:t>
            </w:r>
            <w:r>
              <w:rPr>
                <w:rFonts w:ascii="Times New Roman" w:hAnsi="Times New Roman"/>
                <w:szCs w:val="21"/>
              </w:rPr>
              <w:t>旅行社设立专门招徕旅游者、提供旅游咨询的服务网点(以下简称旅行社服务网点)应当依法向工商行政管理部门办理设立登记手续，并向所在地的旅游行政管理部门备案。旅行社服务网点应当接受旅行社的统一管理，不得从事招徕、咨询以外的活动。</w:t>
            </w:r>
            <w:r>
              <w:rPr>
                <w:rFonts w:hint="eastAsia" w:ascii="Times New Roman" w:hAnsi="Times New Roman"/>
                <w:szCs w:val="21"/>
              </w:rPr>
              <w:t>”</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1-3.《旅行社条例实施细则》（2009年4月2日国家旅游局第4次局长办公会议审议通过，国家旅游局令第30号公布。根据2016年12月12日国家旅游局令第42号公布施行的《国家旅游局关于修改&lt;旅行社条例实施细则&gt;和废止&lt;出镜旅游领队人员管理办法&gt;的决定》修改。）第二十三条：“设立社向服务网点所在地工商行政管理部门办理服务网点设立登记后，应当在3个工作日内，持下列文件向服务网点所在地与工商登记同级的旅游行政管理部门备案：（一）服务网点的《营业执照》；（二）服务网点经理的履历表和身份证明。没有同级的旅游行政管理部门的，向上一级旅游行政管理部门备案。” </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《旅行社条例》、《旅行社条例实施细则》、</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表2-190</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cs="宋体"/>
                <w:sz w:val="22"/>
              </w:rPr>
            </w:pPr>
            <w:r>
              <w:rPr>
                <w:rFonts w:hint="eastAsia" w:ascii="Times New Roman" w:hAnsi="Times New Roman"/>
                <w:sz w:val="22"/>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 w:val="22"/>
              </w:rPr>
            </w:pPr>
            <w:r>
              <w:rPr>
                <w:rFonts w:hint="eastAsia" w:ascii="Times New Roman" w:hAnsi="Times New Roman"/>
                <w:sz w:val="22"/>
              </w:rPr>
              <w:t>换发民办学校及其他民办教育机构办学许可证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hint="eastAsia" w:ascii="Times New Roman" w:hAnsi="Times New Roman"/>
                <w:szCs w:val="21"/>
              </w:rPr>
              <w:t>1.《中华人民共和国民办教育促进法》第十二条 举办实施学历教育、学前教育、自学考试助学及其他文化教育的民办学校，由县级以上人民政府教育行政部门按照国家规定的权限审批;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3.解释备案责任：在规定期限内作出换发或不予换发的结论，不予换发应告知理由，并告知相对人申请复议或提起行政诉讼的权利。</w:t>
            </w:r>
          </w:p>
          <w:p>
            <w:pPr>
              <w:spacing w:line="360" w:lineRule="exact"/>
              <w:ind w:firstLine="420" w:firstLineChars="200"/>
              <w:jc w:val="left"/>
              <w:rPr>
                <w:rFonts w:ascii="Times New Roman" w:hAnsi="Times New Roman"/>
                <w:szCs w:val="21"/>
              </w:rPr>
            </w:pPr>
            <w:r>
              <w:rPr>
                <w:rFonts w:hint="eastAsia" w:ascii="Times New Roman" w:hAnsi="Times New Roman" w:cs="Arial"/>
                <w:kern w:val="0"/>
                <w:szCs w:val="21"/>
              </w:rPr>
              <w:t>4.送达责任：在规定期限内向申请人送达行政许可证件；建立信息档案；公开有关信息。</w:t>
            </w:r>
          </w:p>
          <w:p>
            <w:pPr>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2-1. 《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3-1.同2-1.《中华人民共和国行政许可法》第三十四条</w:t>
            </w:r>
          </w:p>
          <w:p>
            <w:pPr>
              <w:spacing w:line="360" w:lineRule="exact"/>
              <w:ind w:firstLine="420" w:firstLineChars="200"/>
              <w:jc w:val="left"/>
              <w:rPr>
                <w:rFonts w:ascii="Times New Roman" w:hAnsi="Times New Roman"/>
                <w:szCs w:val="21"/>
              </w:rPr>
            </w:pPr>
            <w:r>
              <w:rPr>
                <w:rFonts w:hint="eastAsia" w:ascii="Times New Roman" w:hAnsi="Times New Roman"/>
                <w:szCs w:val="21"/>
              </w:rPr>
              <w:t>3-2.《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第四十四条：“行政机关作出准予行政许可的决定，应当自作出决定之日起十日内向申请人颁发、送达行政许可证件，或者加贴标签、加盖检验、检测、检疫印章。”</w:t>
            </w:r>
          </w:p>
          <w:p>
            <w:pPr>
              <w:widowControl/>
              <w:shd w:val="clear" w:color="auto" w:fill="FFFFFF"/>
              <w:spacing w:before="75" w:after="75" w:line="360" w:lineRule="exact"/>
              <w:ind w:left="75" w:right="75"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2"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w:t>
            </w:r>
            <w:r>
              <w:rPr>
                <w:rFonts w:hint="eastAsia" w:ascii="Times New Roman" w:hAnsi="Times New Roman"/>
                <w:szCs w:val="21"/>
              </w:rPr>
              <w:t>《中华人民共和国体育法》、</w:t>
            </w:r>
            <w:r>
              <w:rPr>
                <w:rFonts w:ascii="Times New Roman" w:hAnsi="Times New Roman"/>
                <w:szCs w:val="21"/>
              </w:rPr>
              <w:t>《行政机关公务员处分条例》、</w:t>
            </w:r>
            <w:r>
              <w:rPr>
                <w:rFonts w:hint="eastAsia" w:ascii="Times New Roman" w:hAnsi="Times New Roman"/>
                <w:szCs w:val="21"/>
              </w:rPr>
              <w:t>《中华人民共和国民办教育促进法》、</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028-84384493</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表2-191</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7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序号</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cs="仿宋_GB2312"/>
                <w:szCs w:val="21"/>
              </w:rPr>
              <w:t>出版物出租经营单位备案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szCs w:val="21"/>
              </w:rPr>
            </w:pPr>
            <w:r>
              <w:rPr>
                <w:rFonts w:hint="eastAsia" w:ascii="Times New Roman" w:hAnsi="Times New Roman"/>
                <w:szCs w:val="21"/>
              </w:rPr>
              <w:t>《出版物市场管理规定》（2016年，国家新闻出版总局和商务部令第10号）第十三条：“单位、个人从事出版物出租业务，应当于取得营业执照后15日内到当地县级人民政府出版行政主管部门备案。备案材料包括下列书面材料：（一）营业执照正副本复印件；（二）经营场所情况；（三）法定代表人或者主要负责人情况。相关出版行政主管部门应在10个工作日内向申请备案单位、个人出具备案回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109"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1.受理责任：公示应当提交的材料，对书面申请材料进行形式审查，一次性告知补正材料，依法受理或不予受理（不予受理应当告知理由）。</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2.审查责任：对申请人提交的申请材料进行审查，提出审查意见。</w:t>
            </w:r>
          </w:p>
          <w:p>
            <w:pPr>
              <w:snapToGrid w:val="0"/>
              <w:spacing w:line="360" w:lineRule="exact"/>
              <w:ind w:firstLine="420" w:firstLineChars="200"/>
              <w:jc w:val="left"/>
              <w:rPr>
                <w:rFonts w:ascii="Times New Roman" w:hAnsi="Times New Roman"/>
                <w:szCs w:val="21"/>
              </w:rPr>
            </w:pPr>
            <w:r>
              <w:rPr>
                <w:rFonts w:hint="eastAsia" w:ascii="Times New Roman" w:hAnsi="Times New Roman"/>
                <w:szCs w:val="21"/>
              </w:rPr>
              <w:t>3.决定责任：在规定期限内作出许可或不予许可的书面决定；不予许可应告知理由，并告知相对人申请复议或提起行政诉讼的权利。</w:t>
            </w:r>
          </w:p>
          <w:p>
            <w:pPr>
              <w:spacing w:line="360" w:lineRule="exact"/>
              <w:ind w:firstLine="420" w:firstLineChars="200"/>
              <w:rPr>
                <w:rFonts w:ascii="Times New Roman" w:hAnsi="Times New Roman"/>
                <w:szCs w:val="21"/>
              </w:rPr>
            </w:pPr>
            <w:r>
              <w:rPr>
                <w:rFonts w:hint="eastAsia" w:ascii="Times New Roman" w:hAnsi="Times New Roman"/>
                <w:szCs w:val="21"/>
              </w:rPr>
              <w:t>4.其他责任：法律法规规章文件规定应履行的其他责任。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责任事项依据</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-1．《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1-2.《出版物市场管理规定》（2016年，国家新闻出版总局和商务部令第10号）第十三条：“单位、个人从事出版物出租业务，应当于取得营业执照后15日内到当地县级人民政府出版行政主管部门备案。备案材料包括下列书面材料：（一）营业执照正副本复印件；（二）经营场所情况；（三）法定代表人或者主要负责人情况。相关出版行政主管部门应在10个工作日内向申请备案单位、个人出具备案回执。”</w:t>
            </w:r>
          </w:p>
          <w:p>
            <w:pPr>
              <w:spacing w:line="360" w:lineRule="exact"/>
              <w:ind w:firstLine="420" w:firstLineChars="200"/>
              <w:jc w:val="left"/>
              <w:rPr>
                <w:rFonts w:ascii="Times New Roman" w:hAnsi="Times New Roman"/>
                <w:szCs w:val="21"/>
              </w:rPr>
            </w:pPr>
            <w:r>
              <w:rPr>
                <w:rFonts w:hint="eastAsia" w:ascii="Times New Roman" w:hAnsi="Times New Roman"/>
                <w:szCs w:val="21"/>
              </w:rPr>
              <w:t>2.《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第三十六条：“行政机关对行政许可申请进行审查时，发现行政许可事项直接关系他人重大利益的，应当告知该利害关系人。申请人、利害关系人有权进行陈述和申辩。行政机关应当听取申请人、利害关系人的意见。”第四十五条：“行政机关作出行政许可决定，依法需要听证、招标、拍卖、检验、检测、检疫、鉴定和专家评审的，所需时间不计算在本节规定的期限内。行政机关应当将所需时间书面告知申请人。”</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3.《中华人民共和国行政许可法》第三十七条：“行政机关对行政许可申请进行审查后，除当场作出行政许可决定的外，应当在法定期限内按照规定程序作出行政许可决定。”第三十八条：“申请人的申请符合法定条件、标准的，行政机关应当依法作出准予行政许可的书面决定。行政机关依法作出不予行政许可的书面决定的，应当说明理由，并告知申请人享有依法申请行政复议或者提起行政诉讼的权利。”第三十九条：“行政机关作出准予行政许可的决定，需要颁发行政许可证件的，应当向申请人颁发加盖本行政机关印章的下列行政许可证件：（一）许可证、执照或者其他许可证书；（二）资格证、资质证或者其他合格证书；（三）行政机关的批准文件或者证明文件；（四）法律、法规规定的其他行政许可证件。行政机关实施检验、检测、检疫的，可以在检验、检测、检疫合格的设备、设施、产品、物品上加贴标签或者加盖检验、检测、检疫印章。” </w:t>
            </w:r>
          </w:p>
          <w:p>
            <w:pPr>
              <w:spacing w:line="360" w:lineRule="exact"/>
              <w:ind w:firstLine="420" w:firstLineChars="200"/>
              <w:jc w:val="left"/>
              <w:rPr>
                <w:rFonts w:ascii="Times New Roman" w:hAnsi="Times New Roman"/>
                <w:szCs w:val="21"/>
              </w:rPr>
            </w:pPr>
            <w:r>
              <w:rPr>
                <w:rFonts w:hint="eastAsia" w:ascii="Times New Roman" w:hAnsi="Times New Roman"/>
                <w:szCs w:val="21"/>
              </w:rPr>
              <w:t>4.《中华人民共和国行政许可法》第五条：“设定和实施行政许可，应当遵循公开、公平、公正的原则。有关行政许可的规定应当公布；未经公布的，不得作为实施行政许可的依据。行政许可的实施和结果，除涉及国家秘密、商业秘密或者个人隐私的外，应当公开。符合法定条件、标准的，申请人有依法取得行政许可的平等权利，行政机关不得歧视。”第四十条：“行政机关作出准予行政许可的决定，应当予以公开，公众有权查阅。”</w:t>
            </w:r>
          </w:p>
          <w:p>
            <w:pPr>
              <w:spacing w:line="360" w:lineRule="exact"/>
              <w:ind w:firstLine="420" w:firstLineChars="200"/>
              <w:rPr>
                <w:rFonts w:ascii="Times New Roman" w:hAnsi="Times New Roman"/>
                <w:szCs w:val="21"/>
              </w:rPr>
            </w:pPr>
            <w:r>
              <w:rPr>
                <w:rFonts w:hint="eastAsia" w:ascii="Times New Roman" w:hAnsi="Times New Roman"/>
                <w:szCs w:val="21"/>
              </w:rPr>
              <w:t>5.成都市成华区人民政府关于印发《成华区相对集中行政许可权改革工作实施方案》的通知（成华府发〔2019〕3号）。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8"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ind w:firstLine="420" w:firstLineChars="200"/>
              <w:rPr>
                <w:rFonts w:ascii="Times New Roman" w:hAnsi="Times New Roman"/>
                <w:szCs w:val="21"/>
              </w:rPr>
            </w:pPr>
            <w:r>
              <w:rPr>
                <w:rFonts w:ascii="Times New Roman" w:hAnsi="Times New Roman"/>
                <w:szCs w:val="21"/>
              </w:rPr>
              <w:t>对不履行或不正确履行行政职责的行政机关及其工作人员，依据《中华人民共和国行政监察法》、《中华人民共和国行政许可法》、《行政机关公务员处分条例》、</w:t>
            </w:r>
            <w:r>
              <w:rPr>
                <w:rFonts w:hint="eastAsia" w:ascii="Times New Roman" w:hAnsi="Times New Roman"/>
                <w:szCs w:val="21"/>
              </w:rPr>
              <w:t>《出版物市场管理规定》、</w:t>
            </w:r>
            <w:r>
              <w:rPr>
                <w:rFonts w:ascii="Times New Roman" w:hAnsi="Times New Roman"/>
                <w:szCs w:val="21"/>
              </w:rPr>
              <w:t>《四川省行政审批违法违纪行为责任追究办法》</w:t>
            </w:r>
            <w:r>
              <w:rPr>
                <w:rFonts w:hint="eastAsia" w:ascii="Times New Roman" w:hAnsi="Times New Roman"/>
                <w:szCs w:val="21"/>
              </w:rPr>
              <w:t>、</w:t>
            </w:r>
            <w:r>
              <w:rPr>
                <w:rFonts w:ascii="Times New Roman" w:hAnsi="Times New Roman"/>
                <w:szCs w:val="21"/>
              </w:rPr>
              <w:t>《四川省行政机关工作人员行政过错责任追究试行办法》等相关法律法规规章的规定追究相应的责任。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10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szCs w:val="21"/>
              </w:rPr>
            </w:pPr>
            <w:r>
              <w:rPr>
                <w:rFonts w:hint="eastAsia" w:ascii="Times New Roman" w:hAnsi="Times New Roman"/>
                <w:szCs w:val="21"/>
              </w:rPr>
              <w:t>028-84380919</w:t>
            </w:r>
          </w:p>
        </w:tc>
      </w:tr>
    </w:tbl>
    <w:p>
      <w:pPr>
        <w:spacing w:line="360" w:lineRule="exact"/>
        <w:rPr>
          <w:rFonts w:ascii="Times New Roman" w:hAnsi="Times New Roman" w:eastAsiaTheme="minorEastAsia"/>
          <w:szCs w:val="21"/>
        </w:rPr>
      </w:pPr>
    </w:p>
    <w:p>
      <w:pPr>
        <w:widowControl/>
        <w:spacing w:line="360" w:lineRule="exact"/>
        <w:jc w:val="left"/>
        <w:rPr>
          <w:rFonts w:ascii="Times New Roman" w:hAnsi="Times New Roman" w:eastAsiaTheme="minorEastAsia"/>
          <w:szCs w:val="21"/>
        </w:rPr>
      </w:pPr>
      <w:r>
        <w:rPr>
          <w:rFonts w:ascii="Times New Roman" w:hAnsi="Times New Roman" w:eastAsiaTheme="minorEastAsia"/>
          <w:szCs w:val="21"/>
        </w:rPr>
        <w:br w:type="page"/>
      </w:r>
    </w:p>
    <w:p>
      <w:pPr>
        <w:pStyle w:val="3"/>
        <w:spacing w:line="360" w:lineRule="exact"/>
        <w:rPr>
          <w:rFonts w:ascii="Times New Roman" w:hAnsi="Times New Roman"/>
          <w:szCs w:val="21"/>
        </w:rPr>
      </w:pPr>
      <w:r>
        <w:rPr>
          <w:rFonts w:hint="eastAsia" w:ascii="Times New Roman" w:hAnsi="Times New Roman"/>
        </w:rPr>
        <w:t>表2-192</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序号</w:t>
            </w:r>
          </w:p>
        </w:tc>
        <w:tc>
          <w:tcPr>
            <w:tcW w:w="7582" w:type="dxa"/>
            <w:vAlign w:val="center"/>
          </w:tcPr>
          <w:p>
            <w:pPr>
              <w:spacing w:line="360" w:lineRule="exact"/>
              <w:jc w:val="center"/>
              <w:rPr>
                <w:rFonts w:ascii="Times New Roman" w:hAnsi="Times New Roman"/>
                <w:szCs w:val="21"/>
              </w:rPr>
            </w:pPr>
            <w:r>
              <w:rPr>
                <w:rFonts w:hint="eastAsia" w:ascii="Times New Roman" w:hAnsi="Times New Roman"/>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权力类型</w:t>
            </w:r>
          </w:p>
        </w:tc>
        <w:tc>
          <w:tcPr>
            <w:tcW w:w="7582" w:type="dxa"/>
            <w:vAlign w:val="center"/>
          </w:tcPr>
          <w:p>
            <w:pPr>
              <w:spacing w:line="360" w:lineRule="exact"/>
              <w:jc w:val="center"/>
              <w:rPr>
                <w:rFonts w:ascii="Times New Roman" w:hAnsi="Times New Roman"/>
                <w:szCs w:val="21"/>
              </w:rPr>
            </w:pPr>
            <w:r>
              <w:rPr>
                <w:rFonts w:hint="eastAsia" w:ascii="Times New Roman" w:hAnsi="Times New Roman"/>
                <w:szCs w:val="21"/>
              </w:rPr>
              <w:t>其他行政权力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权力项目名称</w:t>
            </w:r>
          </w:p>
        </w:tc>
        <w:tc>
          <w:tcPr>
            <w:tcW w:w="7582" w:type="dxa"/>
            <w:vAlign w:val="center"/>
          </w:tcPr>
          <w:p>
            <w:pPr>
              <w:spacing w:line="360" w:lineRule="exact"/>
              <w:jc w:val="center"/>
              <w:rPr>
                <w:rFonts w:ascii="Times New Roman" w:hAnsi="Times New Roman"/>
                <w:szCs w:val="21"/>
              </w:rPr>
            </w:pPr>
            <w:r>
              <w:rPr>
                <w:rFonts w:hint="eastAsia" w:ascii="Times New Roman" w:hAnsi="Times New Roman"/>
                <w:szCs w:val="21"/>
              </w:rPr>
              <w:t>中医诊所备案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16"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实施依据</w:t>
            </w:r>
          </w:p>
        </w:tc>
        <w:tc>
          <w:tcPr>
            <w:tcW w:w="7582" w:type="dxa"/>
            <w:vAlign w:val="center"/>
          </w:tcPr>
          <w:p>
            <w:pPr>
              <w:spacing w:line="360" w:lineRule="exact"/>
              <w:ind w:firstLine="420" w:firstLineChars="200"/>
              <w:rPr>
                <w:rFonts w:ascii="Times New Roman" w:hAnsi="Times New Roman"/>
                <w:szCs w:val="21"/>
              </w:rPr>
            </w:pPr>
            <w:r>
              <w:rPr>
                <w:rFonts w:ascii="Times New Roman" w:hAnsi="Times New Roman"/>
                <w:szCs w:val="21"/>
              </w:rPr>
              <w:t>1. 《中华人民共和国中医药法》（主席令第59号，2016年12月25号）第十四条第二款</w:t>
            </w:r>
            <w:r>
              <w:rPr>
                <w:rFonts w:hint="eastAsia" w:ascii="Times New Roman" w:hAnsi="Times New Roman"/>
                <w:szCs w:val="21"/>
              </w:rPr>
              <w:t>：“</w:t>
            </w:r>
            <w:r>
              <w:rPr>
                <w:rFonts w:ascii="Times New Roman" w:hAnsi="Times New Roman"/>
                <w:szCs w:val="21"/>
              </w:rPr>
              <w:t>举办中医诊所的，将诊所的名称、地址、诊疗范围、人员配备情况等报所在地县级人民政府中医药主管部门备案后即可开展执业活动。中医诊所应当将本诊所的诊疗范围、中医医师的姓名及其执业范围在诊所的明显位置公示，不得超出备案范围开展医疗活动。</w:t>
            </w:r>
            <w:r>
              <w:rPr>
                <w:rFonts w:hint="eastAsia" w:ascii="Times New Roman" w:hAnsi="Times New Roman"/>
                <w:szCs w:val="21"/>
              </w:rPr>
              <w:t>”</w:t>
            </w:r>
          </w:p>
          <w:p>
            <w:pPr>
              <w:spacing w:line="360" w:lineRule="exact"/>
              <w:ind w:firstLine="420" w:firstLineChars="200"/>
              <w:jc w:val="left"/>
              <w:rPr>
                <w:rFonts w:ascii="Times New Roman" w:hAnsi="Times New Roman"/>
                <w:szCs w:val="21"/>
              </w:rPr>
            </w:pPr>
            <w:r>
              <w:rPr>
                <w:rFonts w:ascii="Times New Roman" w:hAnsi="Times New Roman"/>
                <w:szCs w:val="21"/>
              </w:rPr>
              <w:t>2.《中医诊所备案管理暂行办法》（国家卫计委令第14号，2017年9月22号）第三条第三款</w:t>
            </w:r>
            <w:r>
              <w:rPr>
                <w:rFonts w:hint="eastAsia" w:ascii="Times New Roman" w:hAnsi="Times New Roman"/>
                <w:szCs w:val="21"/>
              </w:rPr>
              <w:t>：“</w:t>
            </w:r>
            <w:r>
              <w:rPr>
                <w:rFonts w:ascii="Times New Roman" w:hAnsi="Times New Roman"/>
                <w:szCs w:val="21"/>
              </w:rPr>
              <w:t>县级中医药主管部门具体负责本行政区域内中医诊所的备案工作。</w:t>
            </w:r>
            <w:r>
              <w:rPr>
                <w:rFonts w:hint="eastAsia" w:ascii="Times New Roman" w:hAnsi="Times New Roman"/>
                <w:szCs w:val="21"/>
              </w:rPr>
              <w:t>”</w:t>
            </w:r>
            <w:r>
              <w:rPr>
                <w:rFonts w:ascii="Times New Roman" w:hAnsi="Times New Roman"/>
                <w:szCs w:val="21"/>
              </w:rPr>
              <w:t>第八条第一款</w:t>
            </w:r>
            <w:r>
              <w:rPr>
                <w:rFonts w:hint="eastAsia" w:ascii="Times New Roman" w:hAnsi="Times New Roman"/>
                <w:szCs w:val="21"/>
              </w:rPr>
              <w:t>：“</w:t>
            </w:r>
            <w:r>
              <w:rPr>
                <w:rFonts w:ascii="Times New Roman" w:hAnsi="Times New Roman"/>
                <w:szCs w:val="21"/>
              </w:rPr>
              <w:t>县级中医药主管部门收到备案材料后，对材料齐全且符合备案要求的予以备案，并当场发放《中医诊所备案证》；材料不全或者不符合备案要求的，应当当场或者在收到备案材料五日内一次性告知备案人需要补正的全部内容。</w:t>
            </w:r>
            <w:r>
              <w:rPr>
                <w:rFonts w:hint="eastAsia" w:ascii="Times New Roman" w:hAns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责任主体</w:t>
            </w:r>
          </w:p>
        </w:tc>
        <w:tc>
          <w:tcPr>
            <w:tcW w:w="7582" w:type="dxa"/>
            <w:vAlign w:val="center"/>
          </w:tcPr>
          <w:p>
            <w:pPr>
              <w:spacing w:line="360" w:lineRule="exact"/>
              <w:jc w:val="center"/>
              <w:rPr>
                <w:rFonts w:ascii="Times New Roman" w:hAnsi="Times New Roman"/>
                <w:szCs w:val="21"/>
              </w:rPr>
            </w:pPr>
            <w:r>
              <w:rPr>
                <w:rFonts w:hint="eastAsia" w:ascii="Times New Roman" w:hAnsi="Times New Roman"/>
                <w:szCs w:val="21"/>
              </w:rPr>
              <w:t>成都市成华区行政审批局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4"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责任事项</w:t>
            </w:r>
          </w:p>
        </w:tc>
        <w:tc>
          <w:tcPr>
            <w:tcW w:w="7582" w:type="dxa"/>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1.立项责任：公示中医诊所备案应当提交的材料，对书面申请材料进行形式审查，一次性告知补正材料，依法受理或不予受理（不予受理应当告知理由）。</w:t>
            </w:r>
          </w:p>
          <w:p>
            <w:pPr>
              <w:spacing w:line="360" w:lineRule="exact"/>
              <w:ind w:firstLine="420" w:firstLineChars="200"/>
              <w:jc w:val="left"/>
              <w:rPr>
                <w:rFonts w:ascii="Times New Roman" w:hAnsi="Times New Roman"/>
                <w:szCs w:val="21"/>
              </w:rPr>
            </w:pPr>
            <w:r>
              <w:rPr>
                <w:rFonts w:hint="eastAsia" w:ascii="Times New Roman" w:hAnsi="Times New Roman"/>
                <w:szCs w:val="21"/>
              </w:rPr>
              <w:t>2.审查责任：对中医诊所备案收书面申请材料。</w:t>
            </w:r>
          </w:p>
          <w:p>
            <w:pPr>
              <w:spacing w:line="360" w:lineRule="exact"/>
              <w:ind w:firstLine="420" w:firstLineChars="200"/>
              <w:jc w:val="left"/>
              <w:rPr>
                <w:rFonts w:ascii="Times New Roman" w:hAnsi="Times New Roman"/>
                <w:szCs w:val="21"/>
              </w:rPr>
            </w:pPr>
            <w:r>
              <w:rPr>
                <w:rFonts w:hint="eastAsia" w:ascii="Times New Roman" w:hAnsi="Times New Roman"/>
                <w:szCs w:val="21"/>
              </w:rPr>
              <w:t>3.决定公布责任:办理结果每周在成华门户网站公示并推送监管部门。</w:t>
            </w:r>
          </w:p>
          <w:p>
            <w:pPr>
              <w:spacing w:line="360" w:lineRule="exact"/>
              <w:ind w:firstLine="420" w:firstLineChars="200"/>
              <w:jc w:val="left"/>
              <w:rPr>
                <w:rFonts w:ascii="Times New Roman" w:hAnsi="Times New Roman"/>
                <w:szCs w:val="21"/>
              </w:rPr>
            </w:pPr>
            <w:r>
              <w:rPr>
                <w:rFonts w:hint="eastAsia" w:ascii="Times New Roman" w:hAnsi="Times New Roman"/>
                <w:szCs w:val="21"/>
              </w:rPr>
              <w:t>4.解释备案责任：.《中医诊所备案管理暂行办法》（国家卫计委令第14号，2017年9月22号）第三条第三款：“县级中医药主管部门具体负责本行政区域内中医诊所的备案工作。” 第八条第一款：“县级中医药主管部门收到备案材料后，对材料齐全且符合备案要求的予以备案，并当场发放《中医诊所备案证》；材料不全或者不符合备案要求的，应当当场或者在收到备案材料五日内一次性告知备案人需要补正的全部内容。”</w:t>
            </w:r>
          </w:p>
          <w:p>
            <w:pPr>
              <w:spacing w:line="360" w:lineRule="exact"/>
              <w:ind w:firstLine="420" w:firstLineChars="200"/>
              <w:jc w:val="left"/>
              <w:rPr>
                <w:rFonts w:ascii="Times New Roman" w:hAnsi="Times New Roman"/>
                <w:szCs w:val="21"/>
              </w:rPr>
            </w:pPr>
            <w:r>
              <w:rPr>
                <w:rFonts w:hint="eastAsia" w:ascii="Times New Roman" w:hAnsi="Times New Roman"/>
                <w:szCs w:val="21"/>
              </w:rPr>
              <w:t>5.其他责任：法律法规规章文件规定应履行的其他责任。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0"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责任事项依据</w:t>
            </w:r>
          </w:p>
        </w:tc>
        <w:tc>
          <w:tcPr>
            <w:tcW w:w="7582" w:type="dxa"/>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1．《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行政机关受理或者不予受理行政许可申请，应当出具加盖本行政机关专用印章和注明日期的书面凭证。”</w:t>
            </w:r>
          </w:p>
          <w:p>
            <w:pPr>
              <w:spacing w:line="360" w:lineRule="exact"/>
              <w:ind w:firstLine="420" w:firstLineChars="200"/>
              <w:jc w:val="left"/>
              <w:rPr>
                <w:rFonts w:ascii="Times New Roman" w:hAnsi="Times New Roman"/>
                <w:szCs w:val="21"/>
              </w:rPr>
            </w:pPr>
            <w:r>
              <w:rPr>
                <w:rFonts w:hint="eastAsia" w:ascii="Times New Roman" w:hAnsi="Times New Roman"/>
                <w:szCs w:val="21"/>
              </w:rPr>
              <w:t xml:space="preserve"> 2-1．《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pPr>
              <w:spacing w:line="360" w:lineRule="exact"/>
              <w:ind w:firstLine="420" w:firstLineChars="200"/>
              <w:jc w:val="left"/>
              <w:rPr>
                <w:rFonts w:ascii="Times New Roman" w:hAnsi="Times New Roman"/>
                <w:szCs w:val="21"/>
              </w:rPr>
            </w:pPr>
            <w:r>
              <w:rPr>
                <w:rFonts w:hint="eastAsia" w:ascii="Times New Roman" w:hAnsi="Times New Roman"/>
                <w:szCs w:val="21"/>
              </w:rPr>
              <w:t>2-2．《中华人民共和国行政许可法》第三十六条：“行政机关对行政许可申请进行审查时，发现行政许可事项直接关系他人重大利益的，应当告知该利害关系人。申请人、利害关系人有权进行陈述和申辩。行政机关应当听取申请人、利害关系人的意见。”</w:t>
            </w:r>
          </w:p>
          <w:p>
            <w:pPr>
              <w:spacing w:line="360" w:lineRule="exact"/>
              <w:ind w:firstLine="420" w:firstLineChars="200"/>
              <w:jc w:val="left"/>
              <w:rPr>
                <w:rFonts w:ascii="Times New Roman" w:hAnsi="Times New Roman"/>
                <w:szCs w:val="21"/>
              </w:rPr>
            </w:pPr>
            <w:r>
              <w:rPr>
                <w:rFonts w:hint="eastAsia" w:ascii="Times New Roman" w:hAnsi="Times New Roman"/>
                <w:szCs w:val="21"/>
              </w:rPr>
              <w:t>3. 《中医诊所备案管理暂行办法》（国家卫计委令第14号，2017年9月22号）第八条第一款：“县级中医药主管部门收到备案材料后，对材料齐全且符合备案要求的予以备案，并当场发放《中医诊所备案证》；材料不全或者不符合备案要求的，应当当场或者在收到备案材料五日内一次性告知备案人需要补正的全部内容。”</w:t>
            </w:r>
          </w:p>
          <w:p>
            <w:pPr>
              <w:spacing w:line="360" w:lineRule="exact"/>
              <w:ind w:firstLine="420" w:firstLineChars="200"/>
              <w:jc w:val="left"/>
              <w:rPr>
                <w:rFonts w:ascii="Times New Roman" w:hAnsi="Times New Roman"/>
                <w:szCs w:val="21"/>
              </w:rPr>
            </w:pPr>
            <w:r>
              <w:rPr>
                <w:rFonts w:hint="eastAsia" w:ascii="Times New Roman" w:hAnsi="Times New Roman"/>
                <w:szCs w:val="21"/>
              </w:rPr>
              <w:t>4-1．《中华人民共和国行政许可法》第四十条：“行政机关作出准予行政许可的决定，应当予以公开，公众有权查阅。”</w:t>
            </w:r>
          </w:p>
          <w:p>
            <w:pPr>
              <w:spacing w:line="360" w:lineRule="exact"/>
              <w:ind w:firstLine="420" w:firstLineChars="200"/>
              <w:jc w:val="left"/>
              <w:rPr>
                <w:rFonts w:ascii="Times New Roman" w:hAnsi="Times New Roman"/>
                <w:szCs w:val="21"/>
              </w:rPr>
            </w:pPr>
            <w:r>
              <w:rPr>
                <w:rFonts w:hint="eastAsia" w:ascii="Times New Roman" w:hAnsi="Times New Roman"/>
                <w:szCs w:val="21"/>
              </w:rPr>
              <w:t>4-2．《中华人民共和国行政许可法》第四十四条：“行政机关作出准予行政许可的决定，应当自作出决定之日起十日内向申请人颁发、送达行政许可证件，或者加贴标签、加盖检验、检测、检疫印章。”</w:t>
            </w:r>
          </w:p>
          <w:p>
            <w:pPr>
              <w:spacing w:line="360" w:lineRule="exact"/>
              <w:ind w:firstLine="420" w:firstLineChars="200"/>
              <w:jc w:val="left"/>
              <w:rPr>
                <w:rFonts w:ascii="Times New Roman" w:hAnsi="Times New Roman"/>
                <w:szCs w:val="21"/>
              </w:rPr>
            </w:pPr>
            <w:r>
              <w:rPr>
                <w:rFonts w:hint="eastAsia" w:ascii="Times New Roman" w:hAnsi="Times New Roman"/>
                <w:szCs w:val="21"/>
              </w:rPr>
              <w:t>5. 成都市成华区人民政府关于印发《成华区相对集中行政许可权改革工作实施方案》的通知（成华府发〔2019〕3号）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0"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追责情形</w:t>
            </w:r>
          </w:p>
        </w:tc>
        <w:tc>
          <w:tcPr>
            <w:tcW w:w="7582" w:type="dxa"/>
            <w:vAlign w:val="center"/>
          </w:tcPr>
          <w:p>
            <w:pPr>
              <w:spacing w:line="360" w:lineRule="exact"/>
              <w:ind w:firstLine="420" w:firstLineChars="200"/>
              <w:jc w:val="left"/>
              <w:rPr>
                <w:rFonts w:ascii="Times New Roman" w:hAnsi="Times New Roman"/>
                <w:szCs w:val="21"/>
              </w:rPr>
            </w:pPr>
            <w:r>
              <w:rPr>
                <w:rFonts w:hint="eastAsia" w:ascii="Times New Roman" w:hAnsi="Times New Roman"/>
                <w:szCs w:val="21"/>
              </w:rPr>
              <w:t>对不履行或不正确履行行政职责的行政机关及其工作人员，依据《中华人民共和国监察法》《中华人民共和国行政许可法》《行政机关公务员处分条例》《公职人员政务处分暂行规定》《四川省行政审批违法违纪行为责任追究办法》《卫生行政许可管理办法》等法律法规规章的相关规定追究相应的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560" w:type="dxa"/>
            <w:vAlign w:val="center"/>
          </w:tcPr>
          <w:p>
            <w:pPr>
              <w:spacing w:line="360" w:lineRule="exact"/>
              <w:jc w:val="center"/>
              <w:rPr>
                <w:rFonts w:ascii="Times New Roman" w:hAnsi="Times New Roman"/>
                <w:szCs w:val="21"/>
              </w:rPr>
            </w:pPr>
            <w:r>
              <w:rPr>
                <w:rFonts w:ascii="Times New Roman" w:hAnsi="Times New Roman"/>
                <w:szCs w:val="21"/>
              </w:rPr>
              <w:t>监督电话</w:t>
            </w:r>
          </w:p>
        </w:tc>
        <w:tc>
          <w:tcPr>
            <w:tcW w:w="7582" w:type="dxa"/>
            <w:vAlign w:val="center"/>
          </w:tcPr>
          <w:p>
            <w:pPr>
              <w:spacing w:line="360" w:lineRule="exact"/>
              <w:jc w:val="center"/>
              <w:rPr>
                <w:rFonts w:ascii="Times New Roman" w:hAnsi="Times New Roman"/>
                <w:szCs w:val="21"/>
              </w:rPr>
            </w:pPr>
            <w:r>
              <w:rPr>
                <w:rFonts w:ascii="Times New Roman" w:hAnsi="Times New Roman"/>
                <w:szCs w:val="21"/>
              </w:rPr>
              <w:t>028-</w:t>
            </w:r>
            <w:r>
              <w:rPr>
                <w:rFonts w:hint="eastAsia" w:ascii="Times New Roman" w:hAnsi="Times New Roman"/>
                <w:szCs w:val="21"/>
              </w:rPr>
              <w:t>84384493</w:t>
            </w:r>
          </w:p>
        </w:tc>
      </w:tr>
    </w:tbl>
    <w:p>
      <w:pPr>
        <w:widowControl/>
        <w:spacing w:line="360" w:lineRule="exact"/>
        <w:jc w:val="left"/>
        <w:rPr>
          <w:rFonts w:ascii="Times New Roman" w:hAnsi="Times New Roman" w:eastAsia="方正黑体简体"/>
          <w:kern w:val="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Droid Sans Fallback">
    <w:panose1 w:val="020B0502000000000001"/>
    <w:charset w:val="86"/>
    <w:family w:val="swiss"/>
    <w:pitch w:val="default"/>
    <w:sig w:usb0="910002FF" w:usb1="2BDFFCFB" w:usb2="00000036" w:usb3="00000000" w:csb0="203F01FF" w:csb1="D7FF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Noto Sans CJK JP Regular">
    <w:altName w:val="思源黑体"/>
    <w:panose1 w:val="020B0500000000000000"/>
    <w:charset w:val="86"/>
    <w:family w:val="swiss"/>
    <w:pitch w:val="default"/>
    <w:sig w:usb0="00000000" w:usb1="00000000" w:usb2="00000016" w:usb3="00000000" w:csb0="602E0107" w:csb1="00000000"/>
  </w:font>
  <w:font w:name="思源黑体">
    <w:panose1 w:val="020B0500000000000000"/>
    <w:charset w:val="86"/>
    <w:family w:val="auto"/>
    <w:pitch w:val="default"/>
    <w:sig w:usb0="3000008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000101FF" w:csb1="00000000"/>
  </w:font>
  <w:font w:name="微软雅黑">
    <w:altName w:val="方正黑体_GBK"/>
    <w:panose1 w:val="020B0503020204020204"/>
    <w:charset w:val="86"/>
    <w:family w:val="swiss"/>
    <w:pitch w:val="default"/>
    <w:sig w:usb0="00000000" w:usb1="00000000" w:usb2="00000016" w:usb3="00000000" w:csb0="0004001F" w:csb1="00000000"/>
  </w:font>
  <w:font w:name="Liberation Serif">
    <w:panose1 w:val="02020603050405020304"/>
    <w:charset w:val="00"/>
    <w:family w:val="auto"/>
    <w:pitch w:val="default"/>
    <w:sig w:usb0="A00002AF" w:usb1="500078FB" w:usb2="00000000" w:usb3="00000000" w:csb0="6000009F" w:csb1="DFD70000"/>
  </w:font>
  <w:font w:name="微软雅黑">
    <w:altName w:val="方正黑体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2396041"/>
      <w:docPartObj>
        <w:docPartGallery w:val="autotext"/>
      </w:docPartObj>
    </w:sdtPr>
    <w:sdtEndPr>
      <w:rPr>
        <w:rFonts w:hint="eastAsia" w:ascii="方正仿宋简体" w:eastAsia="方正仿宋简体"/>
      </w:rPr>
    </w:sdtEndPr>
    <w:sdtContent>
      <w:p>
        <w:pPr>
          <w:pStyle w:val="8"/>
          <w:jc w:val="center"/>
          <w:rPr>
            <w:rFonts w:ascii="方正仿宋简体" w:eastAsia="方正仿宋简体"/>
          </w:rPr>
        </w:pPr>
        <w:r>
          <w:rPr>
            <w:rFonts w:hint="eastAsia" w:ascii="方正仿宋简体" w:eastAsia="方正仿宋简体"/>
          </w:rPr>
          <w:t xml:space="preserve">— </w:t>
        </w:r>
        <w:r>
          <w:rPr>
            <w:rFonts w:hint="eastAsia" w:ascii="方正仿宋简体" w:eastAsia="方正仿宋简体"/>
          </w:rPr>
          <w:fldChar w:fldCharType="begin"/>
        </w:r>
        <w:r>
          <w:rPr>
            <w:rFonts w:hint="eastAsia" w:ascii="方正仿宋简体" w:eastAsia="方正仿宋简体"/>
          </w:rPr>
          <w:instrText xml:space="preserve">PAGE   \* MERGEFORMAT</w:instrText>
        </w:r>
        <w:r>
          <w:rPr>
            <w:rFonts w:hint="eastAsia" w:ascii="方正仿宋简体" w:eastAsia="方正仿宋简体"/>
          </w:rPr>
          <w:fldChar w:fldCharType="separate"/>
        </w:r>
        <w:r>
          <w:rPr>
            <w:rFonts w:ascii="方正仿宋简体" w:eastAsia="方正仿宋简体"/>
            <w:lang w:val="zh-CN"/>
          </w:rPr>
          <w:t>492</w:t>
        </w:r>
        <w:r>
          <w:rPr>
            <w:rFonts w:hint="eastAsia" w:ascii="方正仿宋简体" w:eastAsia="方正仿宋简体"/>
          </w:rPr>
          <w:fldChar w:fldCharType="end"/>
        </w:r>
        <w:r>
          <w:rPr>
            <w:rFonts w:hint="eastAsia" w:ascii="方正仿宋简体" w:eastAsia="方正仿宋简体"/>
          </w:rPr>
          <w:t xml:space="preserve"> —</w:t>
        </w:r>
      </w:p>
    </w:sdtContent>
  </w:sdt>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C3D1F6"/>
    <w:multiLevelType w:val="singleLevel"/>
    <w:tmpl w:val="57C3D1F6"/>
    <w:lvl w:ilvl="0" w:tentative="0">
      <w:start w:val="1"/>
      <w:numFmt w:val="decimal"/>
      <w:suff w:val="nothing"/>
      <w:lvlText w:val="%1."/>
      <w:lvlJc w:val="left"/>
    </w:lvl>
  </w:abstractNum>
  <w:abstractNum w:abstractNumId="1">
    <w:nsid w:val="57C4E5A4"/>
    <w:multiLevelType w:val="singleLevel"/>
    <w:tmpl w:val="57C4E5A4"/>
    <w:lvl w:ilvl="0" w:tentative="0">
      <w:start w:val="3"/>
      <w:numFmt w:val="decimal"/>
      <w:suff w:val="nothing"/>
      <w:lvlText w:val="%1."/>
      <w:lvlJc w:val="left"/>
    </w:lvl>
  </w:abstractNum>
  <w:abstractNum w:abstractNumId="2">
    <w:nsid w:val="57C4F351"/>
    <w:multiLevelType w:val="singleLevel"/>
    <w:tmpl w:val="57C4F351"/>
    <w:lvl w:ilvl="0" w:tentative="0">
      <w:start w:val="3"/>
      <w:numFmt w:val="decimal"/>
      <w:suff w:val="nothing"/>
      <w:lvlText w:val="%1."/>
      <w:lvlJc w:val="left"/>
    </w:lvl>
  </w:abstractNum>
  <w:abstractNum w:abstractNumId="3">
    <w:nsid w:val="57C5273B"/>
    <w:multiLevelType w:val="singleLevel"/>
    <w:tmpl w:val="57C5273B"/>
    <w:lvl w:ilvl="0" w:tentative="0">
      <w:start w:val="3"/>
      <w:numFmt w:val="decimal"/>
      <w:suff w:val="nothing"/>
      <w:lvlText w:val="%1."/>
      <w:lvlJc w:val="left"/>
    </w:lvl>
  </w:abstractNum>
  <w:abstractNum w:abstractNumId="4">
    <w:nsid w:val="57C52E6B"/>
    <w:multiLevelType w:val="singleLevel"/>
    <w:tmpl w:val="57C52E6B"/>
    <w:lvl w:ilvl="0" w:tentative="0">
      <w:start w:val="3"/>
      <w:numFmt w:val="decimal"/>
      <w:suff w:val="nothing"/>
      <w:lvlText w:val="%1."/>
      <w:lvlJc w:val="left"/>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hideGrammaticalErrors/>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ZmM1YmI4NjQzNjQ1ZTQ0ZTI2NDUwZDk5MmNmZDIifQ=="/>
  </w:docVars>
  <w:rsids>
    <w:rsidRoot w:val="007721B2"/>
    <w:rsid w:val="00000997"/>
    <w:rsid w:val="00003B3C"/>
    <w:rsid w:val="00004D78"/>
    <w:rsid w:val="00007BD0"/>
    <w:rsid w:val="00014F75"/>
    <w:rsid w:val="00016D16"/>
    <w:rsid w:val="00032D3B"/>
    <w:rsid w:val="00040FAD"/>
    <w:rsid w:val="00041C22"/>
    <w:rsid w:val="00045F7F"/>
    <w:rsid w:val="0005163E"/>
    <w:rsid w:val="00052FA7"/>
    <w:rsid w:val="000604EA"/>
    <w:rsid w:val="00071E5B"/>
    <w:rsid w:val="000722B9"/>
    <w:rsid w:val="00075101"/>
    <w:rsid w:val="00082806"/>
    <w:rsid w:val="0008314D"/>
    <w:rsid w:val="000B220D"/>
    <w:rsid w:val="000B2EC9"/>
    <w:rsid w:val="000B42E3"/>
    <w:rsid w:val="000C0B34"/>
    <w:rsid w:val="000C1459"/>
    <w:rsid w:val="000E09B6"/>
    <w:rsid w:val="000E1FF4"/>
    <w:rsid w:val="000E60EE"/>
    <w:rsid w:val="00107265"/>
    <w:rsid w:val="00107AB0"/>
    <w:rsid w:val="00107D0F"/>
    <w:rsid w:val="00130BF1"/>
    <w:rsid w:val="00135BAE"/>
    <w:rsid w:val="00136C00"/>
    <w:rsid w:val="0014033A"/>
    <w:rsid w:val="001556DA"/>
    <w:rsid w:val="001559CD"/>
    <w:rsid w:val="00162A9E"/>
    <w:rsid w:val="00165BD5"/>
    <w:rsid w:val="00171294"/>
    <w:rsid w:val="0017380F"/>
    <w:rsid w:val="001740BA"/>
    <w:rsid w:val="0017414F"/>
    <w:rsid w:val="00174A42"/>
    <w:rsid w:val="00176E3C"/>
    <w:rsid w:val="00184AD2"/>
    <w:rsid w:val="00186806"/>
    <w:rsid w:val="00191B06"/>
    <w:rsid w:val="00195E1C"/>
    <w:rsid w:val="0019777C"/>
    <w:rsid w:val="00197F4A"/>
    <w:rsid w:val="001A25A2"/>
    <w:rsid w:val="001A2EA1"/>
    <w:rsid w:val="001A4BC9"/>
    <w:rsid w:val="001A6F88"/>
    <w:rsid w:val="001B25BA"/>
    <w:rsid w:val="001B47D5"/>
    <w:rsid w:val="001C0A35"/>
    <w:rsid w:val="001C1872"/>
    <w:rsid w:val="001C5C1C"/>
    <w:rsid w:val="001C7508"/>
    <w:rsid w:val="001D2F28"/>
    <w:rsid w:val="001D4314"/>
    <w:rsid w:val="001D6C48"/>
    <w:rsid w:val="001F1E7C"/>
    <w:rsid w:val="001F5FB4"/>
    <w:rsid w:val="00200D72"/>
    <w:rsid w:val="002016E0"/>
    <w:rsid w:val="0020492E"/>
    <w:rsid w:val="0025404E"/>
    <w:rsid w:val="00260870"/>
    <w:rsid w:val="00297CE8"/>
    <w:rsid w:val="002B010E"/>
    <w:rsid w:val="002B2F6D"/>
    <w:rsid w:val="002C5B1E"/>
    <w:rsid w:val="002D4D86"/>
    <w:rsid w:val="002D5F56"/>
    <w:rsid w:val="002E0E64"/>
    <w:rsid w:val="003044B0"/>
    <w:rsid w:val="00307AE6"/>
    <w:rsid w:val="003155D6"/>
    <w:rsid w:val="00316FC2"/>
    <w:rsid w:val="0033402B"/>
    <w:rsid w:val="003459A1"/>
    <w:rsid w:val="00350091"/>
    <w:rsid w:val="00350E54"/>
    <w:rsid w:val="003515F1"/>
    <w:rsid w:val="00360525"/>
    <w:rsid w:val="003720B7"/>
    <w:rsid w:val="00374619"/>
    <w:rsid w:val="00376BDF"/>
    <w:rsid w:val="0038574D"/>
    <w:rsid w:val="003914E9"/>
    <w:rsid w:val="0039296A"/>
    <w:rsid w:val="003B4F88"/>
    <w:rsid w:val="003B507E"/>
    <w:rsid w:val="003B78EC"/>
    <w:rsid w:val="003D4BB4"/>
    <w:rsid w:val="003D4D8E"/>
    <w:rsid w:val="003D6A9C"/>
    <w:rsid w:val="003E0559"/>
    <w:rsid w:val="003E0999"/>
    <w:rsid w:val="003E09DD"/>
    <w:rsid w:val="003E66AF"/>
    <w:rsid w:val="003F5FCD"/>
    <w:rsid w:val="003F7942"/>
    <w:rsid w:val="00405F8B"/>
    <w:rsid w:val="004061DF"/>
    <w:rsid w:val="00415B2D"/>
    <w:rsid w:val="00427DD9"/>
    <w:rsid w:val="004304B6"/>
    <w:rsid w:val="00442B80"/>
    <w:rsid w:val="00444675"/>
    <w:rsid w:val="0044648B"/>
    <w:rsid w:val="0045082C"/>
    <w:rsid w:val="00462606"/>
    <w:rsid w:val="00471E5C"/>
    <w:rsid w:val="0047690A"/>
    <w:rsid w:val="00485F10"/>
    <w:rsid w:val="00491C0C"/>
    <w:rsid w:val="0049551D"/>
    <w:rsid w:val="004B29FD"/>
    <w:rsid w:val="004B7AFD"/>
    <w:rsid w:val="004C208A"/>
    <w:rsid w:val="004C6EC3"/>
    <w:rsid w:val="004C6F73"/>
    <w:rsid w:val="004D7ACA"/>
    <w:rsid w:val="004D7D4C"/>
    <w:rsid w:val="004E2066"/>
    <w:rsid w:val="004F4E95"/>
    <w:rsid w:val="004F4F87"/>
    <w:rsid w:val="00511BBD"/>
    <w:rsid w:val="00516266"/>
    <w:rsid w:val="005249AA"/>
    <w:rsid w:val="005308FD"/>
    <w:rsid w:val="00567346"/>
    <w:rsid w:val="00567D45"/>
    <w:rsid w:val="0057755B"/>
    <w:rsid w:val="00594EEE"/>
    <w:rsid w:val="00596D85"/>
    <w:rsid w:val="005A2BBA"/>
    <w:rsid w:val="005A35BB"/>
    <w:rsid w:val="005A4219"/>
    <w:rsid w:val="005C3F46"/>
    <w:rsid w:val="005C5070"/>
    <w:rsid w:val="005D14AE"/>
    <w:rsid w:val="005D6499"/>
    <w:rsid w:val="005E34AA"/>
    <w:rsid w:val="005E6DEF"/>
    <w:rsid w:val="005F04BB"/>
    <w:rsid w:val="005F4529"/>
    <w:rsid w:val="00610021"/>
    <w:rsid w:val="00610A1B"/>
    <w:rsid w:val="00615C73"/>
    <w:rsid w:val="00622B1B"/>
    <w:rsid w:val="0062331A"/>
    <w:rsid w:val="00650A51"/>
    <w:rsid w:val="0066148F"/>
    <w:rsid w:val="00663227"/>
    <w:rsid w:val="00666252"/>
    <w:rsid w:val="006726F1"/>
    <w:rsid w:val="00673583"/>
    <w:rsid w:val="006827C2"/>
    <w:rsid w:val="00683837"/>
    <w:rsid w:val="00683C61"/>
    <w:rsid w:val="006870AB"/>
    <w:rsid w:val="00687512"/>
    <w:rsid w:val="00690CE0"/>
    <w:rsid w:val="0069246A"/>
    <w:rsid w:val="006A20BB"/>
    <w:rsid w:val="006A7408"/>
    <w:rsid w:val="006C07A6"/>
    <w:rsid w:val="006C0D42"/>
    <w:rsid w:val="006C7E12"/>
    <w:rsid w:val="006D1D9C"/>
    <w:rsid w:val="006E554C"/>
    <w:rsid w:val="006E5B1E"/>
    <w:rsid w:val="007142C8"/>
    <w:rsid w:val="00714481"/>
    <w:rsid w:val="007153C9"/>
    <w:rsid w:val="0072277C"/>
    <w:rsid w:val="00723594"/>
    <w:rsid w:val="007247B6"/>
    <w:rsid w:val="00724C0C"/>
    <w:rsid w:val="00725908"/>
    <w:rsid w:val="0073548C"/>
    <w:rsid w:val="00740304"/>
    <w:rsid w:val="00750BE2"/>
    <w:rsid w:val="00750BFE"/>
    <w:rsid w:val="00752D53"/>
    <w:rsid w:val="00757922"/>
    <w:rsid w:val="00761CFB"/>
    <w:rsid w:val="007721B2"/>
    <w:rsid w:val="00773B3B"/>
    <w:rsid w:val="00784D47"/>
    <w:rsid w:val="007851C4"/>
    <w:rsid w:val="00792A71"/>
    <w:rsid w:val="007A0416"/>
    <w:rsid w:val="007B30AF"/>
    <w:rsid w:val="007C0B4B"/>
    <w:rsid w:val="007C2098"/>
    <w:rsid w:val="007E19B3"/>
    <w:rsid w:val="007F2470"/>
    <w:rsid w:val="007F2A79"/>
    <w:rsid w:val="0080759A"/>
    <w:rsid w:val="00810564"/>
    <w:rsid w:val="00830040"/>
    <w:rsid w:val="008341FF"/>
    <w:rsid w:val="008518DC"/>
    <w:rsid w:val="0085282A"/>
    <w:rsid w:val="00872502"/>
    <w:rsid w:val="008752A9"/>
    <w:rsid w:val="0087772C"/>
    <w:rsid w:val="00881324"/>
    <w:rsid w:val="00896092"/>
    <w:rsid w:val="008A7199"/>
    <w:rsid w:val="008B0792"/>
    <w:rsid w:val="008B44A7"/>
    <w:rsid w:val="008C0533"/>
    <w:rsid w:val="008C0FFD"/>
    <w:rsid w:val="008D1195"/>
    <w:rsid w:val="008D5C34"/>
    <w:rsid w:val="008D6E51"/>
    <w:rsid w:val="008E7845"/>
    <w:rsid w:val="008F2DB6"/>
    <w:rsid w:val="00905397"/>
    <w:rsid w:val="009125D2"/>
    <w:rsid w:val="0091560D"/>
    <w:rsid w:val="009212C6"/>
    <w:rsid w:val="00925EC0"/>
    <w:rsid w:val="00930CA8"/>
    <w:rsid w:val="00940666"/>
    <w:rsid w:val="00940BA2"/>
    <w:rsid w:val="0094158E"/>
    <w:rsid w:val="00954479"/>
    <w:rsid w:val="00971A62"/>
    <w:rsid w:val="00974C6C"/>
    <w:rsid w:val="0097612B"/>
    <w:rsid w:val="00984888"/>
    <w:rsid w:val="00990D65"/>
    <w:rsid w:val="009935CE"/>
    <w:rsid w:val="009945CB"/>
    <w:rsid w:val="009A0681"/>
    <w:rsid w:val="009B3B2D"/>
    <w:rsid w:val="009B5B75"/>
    <w:rsid w:val="009B60FB"/>
    <w:rsid w:val="009C3911"/>
    <w:rsid w:val="009F6457"/>
    <w:rsid w:val="00A00C4B"/>
    <w:rsid w:val="00A0340C"/>
    <w:rsid w:val="00A10BCA"/>
    <w:rsid w:val="00A2473A"/>
    <w:rsid w:val="00A24EA9"/>
    <w:rsid w:val="00A30876"/>
    <w:rsid w:val="00A35B38"/>
    <w:rsid w:val="00A52130"/>
    <w:rsid w:val="00A57F96"/>
    <w:rsid w:val="00A66BFB"/>
    <w:rsid w:val="00A70ADD"/>
    <w:rsid w:val="00A71873"/>
    <w:rsid w:val="00A81630"/>
    <w:rsid w:val="00A929F7"/>
    <w:rsid w:val="00A947D8"/>
    <w:rsid w:val="00A95F5A"/>
    <w:rsid w:val="00AA0AB3"/>
    <w:rsid w:val="00AA4321"/>
    <w:rsid w:val="00AA5EEC"/>
    <w:rsid w:val="00AB4BD4"/>
    <w:rsid w:val="00AC5638"/>
    <w:rsid w:val="00AC67E5"/>
    <w:rsid w:val="00AD106B"/>
    <w:rsid w:val="00AD5AEA"/>
    <w:rsid w:val="00AE4CC2"/>
    <w:rsid w:val="00AE5D79"/>
    <w:rsid w:val="00B02971"/>
    <w:rsid w:val="00B02F6F"/>
    <w:rsid w:val="00B03B85"/>
    <w:rsid w:val="00B051C6"/>
    <w:rsid w:val="00B1071E"/>
    <w:rsid w:val="00B117B7"/>
    <w:rsid w:val="00B171BC"/>
    <w:rsid w:val="00B203BB"/>
    <w:rsid w:val="00B204B6"/>
    <w:rsid w:val="00B20A9E"/>
    <w:rsid w:val="00B32B7A"/>
    <w:rsid w:val="00B5299F"/>
    <w:rsid w:val="00B5635F"/>
    <w:rsid w:val="00B571C3"/>
    <w:rsid w:val="00B73E69"/>
    <w:rsid w:val="00B75700"/>
    <w:rsid w:val="00B83FAD"/>
    <w:rsid w:val="00B84DD5"/>
    <w:rsid w:val="00B85A9F"/>
    <w:rsid w:val="00B86AF0"/>
    <w:rsid w:val="00B87AC6"/>
    <w:rsid w:val="00BA411E"/>
    <w:rsid w:val="00BB23DC"/>
    <w:rsid w:val="00BB725F"/>
    <w:rsid w:val="00BC2FB8"/>
    <w:rsid w:val="00BC4C4D"/>
    <w:rsid w:val="00BD0ED7"/>
    <w:rsid w:val="00BD1195"/>
    <w:rsid w:val="00BD583D"/>
    <w:rsid w:val="00BF2932"/>
    <w:rsid w:val="00BF5342"/>
    <w:rsid w:val="00C217EE"/>
    <w:rsid w:val="00C246C4"/>
    <w:rsid w:val="00C25C7C"/>
    <w:rsid w:val="00C27A8A"/>
    <w:rsid w:val="00C37182"/>
    <w:rsid w:val="00C37E9C"/>
    <w:rsid w:val="00C403C3"/>
    <w:rsid w:val="00C603A6"/>
    <w:rsid w:val="00C71141"/>
    <w:rsid w:val="00C71E48"/>
    <w:rsid w:val="00C97B5F"/>
    <w:rsid w:val="00CD32B2"/>
    <w:rsid w:val="00CD3853"/>
    <w:rsid w:val="00D0203D"/>
    <w:rsid w:val="00D0536C"/>
    <w:rsid w:val="00D06349"/>
    <w:rsid w:val="00D10D11"/>
    <w:rsid w:val="00D11BB8"/>
    <w:rsid w:val="00D146DB"/>
    <w:rsid w:val="00D16B67"/>
    <w:rsid w:val="00D17963"/>
    <w:rsid w:val="00D22CF1"/>
    <w:rsid w:val="00D25C8E"/>
    <w:rsid w:val="00D42486"/>
    <w:rsid w:val="00D44ABB"/>
    <w:rsid w:val="00D533AA"/>
    <w:rsid w:val="00D609B2"/>
    <w:rsid w:val="00D64B66"/>
    <w:rsid w:val="00D65614"/>
    <w:rsid w:val="00D73AE7"/>
    <w:rsid w:val="00D7527C"/>
    <w:rsid w:val="00D848EC"/>
    <w:rsid w:val="00DA172A"/>
    <w:rsid w:val="00DC3347"/>
    <w:rsid w:val="00DD5FD4"/>
    <w:rsid w:val="00DD65A2"/>
    <w:rsid w:val="00DE0D26"/>
    <w:rsid w:val="00DE1E5A"/>
    <w:rsid w:val="00DE55DD"/>
    <w:rsid w:val="00DE67DD"/>
    <w:rsid w:val="00DF4DE4"/>
    <w:rsid w:val="00E00280"/>
    <w:rsid w:val="00E2566C"/>
    <w:rsid w:val="00E25D06"/>
    <w:rsid w:val="00E405E9"/>
    <w:rsid w:val="00E42FAA"/>
    <w:rsid w:val="00E5617E"/>
    <w:rsid w:val="00E614CF"/>
    <w:rsid w:val="00E70D43"/>
    <w:rsid w:val="00E81436"/>
    <w:rsid w:val="00E86A90"/>
    <w:rsid w:val="00E87DBF"/>
    <w:rsid w:val="00E91480"/>
    <w:rsid w:val="00E917FF"/>
    <w:rsid w:val="00E92179"/>
    <w:rsid w:val="00E9423D"/>
    <w:rsid w:val="00EA5127"/>
    <w:rsid w:val="00EB05DA"/>
    <w:rsid w:val="00EB41E5"/>
    <w:rsid w:val="00EB48DC"/>
    <w:rsid w:val="00EB5D1D"/>
    <w:rsid w:val="00EC1909"/>
    <w:rsid w:val="00EC1F86"/>
    <w:rsid w:val="00ED7364"/>
    <w:rsid w:val="00EE2848"/>
    <w:rsid w:val="00EE331D"/>
    <w:rsid w:val="00EE41D4"/>
    <w:rsid w:val="00EE42DC"/>
    <w:rsid w:val="00EE6B33"/>
    <w:rsid w:val="00EF26D6"/>
    <w:rsid w:val="00EF31E2"/>
    <w:rsid w:val="00F078B9"/>
    <w:rsid w:val="00F147FA"/>
    <w:rsid w:val="00F2564B"/>
    <w:rsid w:val="00F2632D"/>
    <w:rsid w:val="00F36B4E"/>
    <w:rsid w:val="00F46806"/>
    <w:rsid w:val="00F82376"/>
    <w:rsid w:val="00F85E04"/>
    <w:rsid w:val="00FB1615"/>
    <w:rsid w:val="00FD2C02"/>
    <w:rsid w:val="00FD6C1A"/>
    <w:rsid w:val="00FD6FA4"/>
    <w:rsid w:val="00FD7F51"/>
    <w:rsid w:val="00FF324E"/>
    <w:rsid w:val="02830E5D"/>
    <w:rsid w:val="044955CA"/>
    <w:rsid w:val="07C84A57"/>
    <w:rsid w:val="08BB4EB2"/>
    <w:rsid w:val="0C90115D"/>
    <w:rsid w:val="0D4A04EF"/>
    <w:rsid w:val="0D576FA9"/>
    <w:rsid w:val="0FA649E0"/>
    <w:rsid w:val="1211524D"/>
    <w:rsid w:val="13916B41"/>
    <w:rsid w:val="17D77D27"/>
    <w:rsid w:val="18EB4A4A"/>
    <w:rsid w:val="1CA079B3"/>
    <w:rsid w:val="1DBE41D5"/>
    <w:rsid w:val="1EE241F9"/>
    <w:rsid w:val="1FD958BF"/>
    <w:rsid w:val="206051B5"/>
    <w:rsid w:val="221B552F"/>
    <w:rsid w:val="22DC5E4E"/>
    <w:rsid w:val="231C24AB"/>
    <w:rsid w:val="237E7350"/>
    <w:rsid w:val="26D829E9"/>
    <w:rsid w:val="26FB14A1"/>
    <w:rsid w:val="28BE1833"/>
    <w:rsid w:val="2E24038A"/>
    <w:rsid w:val="2FC256C7"/>
    <w:rsid w:val="32071C76"/>
    <w:rsid w:val="337F6063"/>
    <w:rsid w:val="33A013E7"/>
    <w:rsid w:val="36C606D4"/>
    <w:rsid w:val="37163A61"/>
    <w:rsid w:val="38060B00"/>
    <w:rsid w:val="38517CC2"/>
    <w:rsid w:val="38605D12"/>
    <w:rsid w:val="3A6E5CA8"/>
    <w:rsid w:val="3A992BBA"/>
    <w:rsid w:val="3AD60748"/>
    <w:rsid w:val="3C0C16CC"/>
    <w:rsid w:val="3E123510"/>
    <w:rsid w:val="402476A6"/>
    <w:rsid w:val="409C5172"/>
    <w:rsid w:val="43094EF2"/>
    <w:rsid w:val="43E61D35"/>
    <w:rsid w:val="46164A54"/>
    <w:rsid w:val="4B073AB3"/>
    <w:rsid w:val="4B1F2CF9"/>
    <w:rsid w:val="4BE24D84"/>
    <w:rsid w:val="4C5A188F"/>
    <w:rsid w:val="4D7B5FE1"/>
    <w:rsid w:val="4DB56DF9"/>
    <w:rsid w:val="4DE90850"/>
    <w:rsid w:val="4E776BBC"/>
    <w:rsid w:val="4EDE5D75"/>
    <w:rsid w:val="511677DA"/>
    <w:rsid w:val="55030779"/>
    <w:rsid w:val="56CC306F"/>
    <w:rsid w:val="59742BD5"/>
    <w:rsid w:val="598B6F36"/>
    <w:rsid w:val="59A857C6"/>
    <w:rsid w:val="5A59165A"/>
    <w:rsid w:val="5A681083"/>
    <w:rsid w:val="5B9B3AFD"/>
    <w:rsid w:val="5BD9BB1E"/>
    <w:rsid w:val="5C3044FA"/>
    <w:rsid w:val="5F8605F5"/>
    <w:rsid w:val="5FBA3DFB"/>
    <w:rsid w:val="610C692D"/>
    <w:rsid w:val="61B66E38"/>
    <w:rsid w:val="62EB1054"/>
    <w:rsid w:val="641F230D"/>
    <w:rsid w:val="65554CF2"/>
    <w:rsid w:val="660852D6"/>
    <w:rsid w:val="66EA3218"/>
    <w:rsid w:val="68D92277"/>
    <w:rsid w:val="699B2742"/>
    <w:rsid w:val="6B23319C"/>
    <w:rsid w:val="6D883171"/>
    <w:rsid w:val="6E890535"/>
    <w:rsid w:val="728F118C"/>
    <w:rsid w:val="72A42E16"/>
    <w:rsid w:val="762B0720"/>
    <w:rsid w:val="76502D78"/>
    <w:rsid w:val="779D0C3B"/>
    <w:rsid w:val="783F12D6"/>
    <w:rsid w:val="7B3023FA"/>
    <w:rsid w:val="7CC04EC7"/>
    <w:rsid w:val="7D874B49"/>
    <w:rsid w:val="7E4E01AE"/>
    <w:rsid w:val="7E520CE5"/>
    <w:rsid w:val="7EF7E63A"/>
    <w:rsid w:val="7F4C21A5"/>
    <w:rsid w:val="DF0B43C9"/>
    <w:rsid w:val="DF79A571"/>
    <w:rsid w:val="EFE5C70E"/>
    <w:rsid w:val="FFDF3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5"/>
    <w:qFormat/>
    <w:uiPriority w:val="0"/>
    <w:pPr>
      <w:autoSpaceDE w:val="0"/>
      <w:autoSpaceDN w:val="0"/>
      <w:ind w:left="127"/>
      <w:jc w:val="center"/>
      <w:outlineLvl w:val="0"/>
    </w:pPr>
    <w:rPr>
      <w:rFonts w:ascii="Droid Sans Fallback" w:hAnsi="Droid Sans Fallback" w:eastAsia="Droid Sans Fallback" w:cs="Droid Sans Fallback"/>
      <w:kern w:val="0"/>
      <w:sz w:val="44"/>
      <w:szCs w:val="44"/>
    </w:rPr>
  </w:style>
  <w:style w:type="paragraph" w:styleId="3">
    <w:name w:val="heading 2"/>
    <w:basedOn w:val="1"/>
    <w:next w:val="1"/>
    <w:link w:val="26"/>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20"/>
    <w:qFormat/>
    <w:uiPriority w:val="9"/>
    <w:pPr>
      <w:keepNext/>
      <w:keepLines/>
      <w:spacing w:before="280" w:after="290" w:line="376" w:lineRule="auto"/>
      <w:outlineLvl w:val="3"/>
    </w:pPr>
    <w:rPr>
      <w:rFonts w:ascii="Cambria" w:hAnsi="Cambria"/>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27"/>
    <w:qFormat/>
    <w:uiPriority w:val="1"/>
    <w:pPr>
      <w:autoSpaceDE w:val="0"/>
      <w:autoSpaceDN w:val="0"/>
      <w:jc w:val="left"/>
    </w:pPr>
    <w:rPr>
      <w:rFonts w:ascii="Noto Sans CJK JP Regular" w:hAnsi="Noto Sans CJK JP Regular" w:eastAsia="Noto Sans CJK JP Regular" w:cs="Noto Sans CJK JP Regular"/>
      <w:kern w:val="0"/>
      <w:sz w:val="32"/>
      <w:szCs w:val="32"/>
    </w:rPr>
  </w:style>
  <w:style w:type="paragraph" w:styleId="7">
    <w:name w:val="Balloon Text"/>
    <w:basedOn w:val="1"/>
    <w:link w:val="21"/>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59"/>
    <w:pPr>
      <w:spacing w:line="380" w:lineRule="exact"/>
      <w:textAlignment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22"/>
    <w:rPr>
      <w:b/>
      <w:bCs/>
    </w:rPr>
  </w:style>
  <w:style w:type="character" w:styleId="15">
    <w:name w:val="Emphasis"/>
    <w:qFormat/>
    <w:uiPriority w:val="0"/>
    <w:rPr>
      <w:rFonts w:cs="Times New Roman"/>
    </w:rPr>
  </w:style>
  <w:style w:type="character" w:styleId="16">
    <w:name w:val="Hyperlink"/>
    <w:basedOn w:val="13"/>
    <w:unhideWhenUsed/>
    <w:qFormat/>
    <w:uiPriority w:val="0"/>
    <w:rPr>
      <w:color w:val="0000FF" w:themeColor="hyperlink"/>
      <w:u w:val="single"/>
      <w14:textFill>
        <w14:solidFill>
          <w14:schemeClr w14:val="hlink"/>
        </w14:solidFill>
      </w14:textFill>
    </w:rPr>
  </w:style>
  <w:style w:type="character" w:customStyle="1" w:styleId="17">
    <w:name w:val="页眉 Char"/>
    <w:basedOn w:val="13"/>
    <w:link w:val="9"/>
    <w:qFormat/>
    <w:uiPriority w:val="99"/>
    <w:rPr>
      <w:sz w:val="18"/>
      <w:szCs w:val="18"/>
    </w:rPr>
  </w:style>
  <w:style w:type="character" w:customStyle="1" w:styleId="18">
    <w:name w:val="页脚 Char"/>
    <w:basedOn w:val="13"/>
    <w:link w:val="8"/>
    <w:qFormat/>
    <w:uiPriority w:val="99"/>
    <w:rPr>
      <w:sz w:val="18"/>
      <w:szCs w:val="18"/>
    </w:rPr>
  </w:style>
  <w:style w:type="paragraph" w:customStyle="1" w:styleId="19">
    <w:name w:val="Table Paragraph"/>
    <w:basedOn w:val="1"/>
    <w:qFormat/>
    <w:uiPriority w:val="1"/>
    <w:pPr>
      <w:autoSpaceDE w:val="0"/>
      <w:autoSpaceDN w:val="0"/>
      <w:jc w:val="left"/>
    </w:pPr>
    <w:rPr>
      <w:rFonts w:ascii="Noto Sans CJK JP Regular" w:hAnsi="Noto Sans CJK JP Regular" w:eastAsia="Noto Sans CJK JP Regular" w:cs="Noto Sans CJK JP Regular"/>
      <w:kern w:val="0"/>
      <w:sz w:val="22"/>
    </w:rPr>
  </w:style>
  <w:style w:type="character" w:customStyle="1" w:styleId="20">
    <w:name w:val="标题 4 Char"/>
    <w:basedOn w:val="13"/>
    <w:link w:val="5"/>
    <w:qFormat/>
    <w:uiPriority w:val="9"/>
    <w:rPr>
      <w:rFonts w:ascii="Cambria" w:hAnsi="Cambria" w:eastAsia="宋体" w:cs="Times New Roman"/>
      <w:b/>
      <w:bCs/>
      <w:sz w:val="28"/>
      <w:szCs w:val="28"/>
    </w:rPr>
  </w:style>
  <w:style w:type="character" w:customStyle="1" w:styleId="21">
    <w:name w:val="批注框文本 Char"/>
    <w:basedOn w:val="13"/>
    <w:link w:val="7"/>
    <w:semiHidden/>
    <w:qFormat/>
    <w:uiPriority w:val="99"/>
    <w:rPr>
      <w:rFonts w:ascii="Calibri" w:hAnsi="Calibri" w:eastAsia="宋体" w:cs="Times New Roman"/>
      <w:sz w:val="18"/>
      <w:szCs w:val="18"/>
    </w:rPr>
  </w:style>
  <w:style w:type="character" w:customStyle="1" w:styleId="22">
    <w:name w:val="二级条标题 Char"/>
    <w:link w:val="23"/>
    <w:qFormat/>
    <w:uiPriority w:val="0"/>
    <w:rPr>
      <w:rFonts w:eastAsia="黑体"/>
      <w:lang w:val="en-US" w:eastAsia="zh-CN"/>
    </w:rPr>
  </w:style>
  <w:style w:type="paragraph" w:customStyle="1" w:styleId="23">
    <w:name w:val="二级条标题"/>
    <w:basedOn w:val="1"/>
    <w:next w:val="1"/>
    <w:link w:val="22"/>
    <w:qFormat/>
    <w:uiPriority w:val="0"/>
    <w:pPr>
      <w:widowControl/>
      <w:jc w:val="left"/>
      <w:outlineLvl w:val="3"/>
    </w:pPr>
    <w:rPr>
      <w:rFonts w:eastAsia="黑体" w:asciiTheme="minorHAnsi" w:hAnsiTheme="minorHAnsi" w:cstheme="minorBidi"/>
    </w:rPr>
  </w:style>
  <w:style w:type="character" w:customStyle="1" w:styleId="24">
    <w:name w:val="标题 3 Char"/>
    <w:basedOn w:val="13"/>
    <w:link w:val="4"/>
    <w:qFormat/>
    <w:uiPriority w:val="0"/>
    <w:rPr>
      <w:rFonts w:ascii="Calibri" w:hAnsi="Calibri" w:eastAsia="宋体" w:cs="Times New Roman"/>
      <w:b/>
      <w:bCs/>
      <w:sz w:val="32"/>
      <w:szCs w:val="32"/>
    </w:rPr>
  </w:style>
  <w:style w:type="character" w:customStyle="1" w:styleId="25">
    <w:name w:val="标题 1 Char"/>
    <w:basedOn w:val="13"/>
    <w:link w:val="2"/>
    <w:qFormat/>
    <w:uiPriority w:val="1"/>
    <w:rPr>
      <w:rFonts w:ascii="Droid Sans Fallback" w:hAnsi="Droid Sans Fallback" w:eastAsia="Droid Sans Fallback" w:cs="Droid Sans Fallback"/>
      <w:kern w:val="0"/>
      <w:sz w:val="44"/>
      <w:szCs w:val="44"/>
    </w:rPr>
  </w:style>
  <w:style w:type="character" w:customStyle="1" w:styleId="26">
    <w:name w:val="标题 2 Char"/>
    <w:basedOn w:val="13"/>
    <w:link w:val="3"/>
    <w:qFormat/>
    <w:uiPriority w:val="0"/>
    <w:rPr>
      <w:rFonts w:asciiTheme="majorHAnsi" w:hAnsiTheme="majorHAnsi" w:eastAsiaTheme="majorEastAsia" w:cstheme="majorBidi"/>
      <w:b/>
      <w:bCs/>
      <w:sz w:val="32"/>
      <w:szCs w:val="32"/>
    </w:rPr>
  </w:style>
  <w:style w:type="character" w:customStyle="1" w:styleId="27">
    <w:name w:val="正文文本 Char"/>
    <w:basedOn w:val="13"/>
    <w:link w:val="6"/>
    <w:qFormat/>
    <w:uiPriority w:val="1"/>
    <w:rPr>
      <w:rFonts w:ascii="Noto Sans CJK JP Regular" w:hAnsi="Noto Sans CJK JP Regular" w:eastAsia="Noto Sans CJK JP Regular" w:cs="Noto Sans CJK JP Regular"/>
      <w:kern w:val="0"/>
      <w:sz w:val="32"/>
      <w:szCs w:val="32"/>
    </w:rPr>
  </w:style>
  <w:style w:type="paragraph" w:customStyle="1" w:styleId="28">
    <w:name w:val="权责样式1"/>
    <w:basedOn w:val="19"/>
    <w:qFormat/>
    <w:uiPriority w:val="0"/>
    <w:pPr>
      <w:framePr w:hSpace="180" w:wrap="around" w:vAnchor="page" w:hAnchor="margin" w:y="1996"/>
      <w:spacing w:line="380" w:lineRule="exact"/>
      <w:ind w:left="554" w:right="545" w:firstLine="420" w:firstLineChars="200"/>
      <w:jc w:val="center"/>
    </w:pPr>
    <w:rPr>
      <w:rFonts w:ascii="方正仿宋简体" w:eastAsia="方正仿宋简体" w:hAnsiTheme="minorEastAsia"/>
      <w:sz w:val="21"/>
      <w:szCs w:val="21"/>
    </w:rPr>
  </w:style>
  <w:style w:type="character" w:customStyle="1" w:styleId="29">
    <w:name w:val="正文1 Char"/>
    <w:link w:val="30"/>
    <w:qFormat/>
    <w:uiPriority w:val="0"/>
    <w:rPr>
      <w:rFonts w:eastAsia="仿宋_GB2312"/>
      <w:sz w:val="32"/>
      <w:szCs w:val="24"/>
    </w:rPr>
  </w:style>
  <w:style w:type="paragraph" w:customStyle="1" w:styleId="30">
    <w:name w:val="正文1"/>
    <w:basedOn w:val="1"/>
    <w:link w:val="29"/>
    <w:qFormat/>
    <w:uiPriority w:val="0"/>
    <w:pPr>
      <w:adjustRightInd w:val="0"/>
      <w:snapToGrid w:val="0"/>
      <w:spacing w:line="600" w:lineRule="atLeast"/>
      <w:ind w:firstLine="200" w:firstLineChars="200"/>
    </w:pPr>
    <w:rPr>
      <w:rFonts w:eastAsia="仿宋_GB2312" w:asciiTheme="minorHAnsi" w:hAnsiTheme="minorHAnsi" w:cstheme="minorBidi"/>
      <w:sz w:val="32"/>
      <w:szCs w:val="24"/>
    </w:rPr>
  </w:style>
  <w:style w:type="character" w:customStyle="1" w:styleId="31">
    <w:name w:val="apple-style-span"/>
    <w:basedOn w:val="13"/>
    <w:qFormat/>
    <w:uiPriority w:val="0"/>
  </w:style>
  <w:style w:type="character" w:customStyle="1" w:styleId="32">
    <w:name w:val="apple-converted-space"/>
    <w:basedOn w:val="13"/>
    <w:qFormat/>
    <w:uiPriority w:val="0"/>
  </w:style>
  <w:style w:type="character" w:customStyle="1" w:styleId="33">
    <w:name w:val="15"/>
    <w:basedOn w:val="13"/>
    <w:qFormat/>
    <w:uiPriority w:val="0"/>
  </w:style>
  <w:style w:type="character" w:customStyle="1" w:styleId="34">
    <w:name w:val="font3"/>
    <w:qFormat/>
    <w:uiPriority w:val="0"/>
    <w:rPr>
      <w:rFonts w:hint="default" w:ascii="Times New Roman" w:hAnsi="Times New Roman" w:cs="Times New Roman"/>
    </w:rPr>
  </w:style>
  <w:style w:type="paragraph" w:customStyle="1" w:styleId="35">
    <w:name w:val="reader-word-layer reader-word-s2-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7">
    <w:name w:val="reader-word-layer reader-word-s2-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8">
    <w:name w:val="reader-word-layer reader-word-s2-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9">
    <w:name w:val="reader-word-layer reader-word-s2-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0">
    <w:name w:val="reader-word-layer reader-word-s2-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4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517</Pages>
  <Words>69951</Words>
  <Characters>398722</Characters>
  <Lines>3322</Lines>
  <Paragraphs>935</Paragraphs>
  <TotalTime>449</TotalTime>
  <ScaleCrop>false</ScaleCrop>
  <LinksUpToDate>false</LinksUpToDate>
  <CharactersWithSpaces>467738</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2023-04-16T07:08:00Z</dcterms:created>
  <dc:creator>Awjht</dc:creator>
  <cp:lastModifiedBy>unis</cp:lastModifiedBy>
  <cp:lastPrinted>2021-10-24T08:00:00Z</cp:lastPrinted>
  <dcterms:modified xsi:type="dcterms:W3CDTF">2026-07-22T14:53:35Z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1FAEE72D69114AAC962FC0D1E54D5068</vt:lpwstr>
  </property>
</Properties>
</file>